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70C128">
      <w:pPr>
        <w:spacing w:before="492" w:beforeLines="150" w:after="164" w:afterLines="50"/>
        <w:jc w:val="center"/>
        <w:rPr>
          <w:rFonts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支撑信息2</w:t>
      </w:r>
    </w:p>
    <w:p w14:paraId="6C185EE0">
      <w:pPr>
        <w:spacing w:before="328" w:beforeLines="100"/>
        <w:rPr>
          <w:rFonts w:eastAsia="黑体"/>
          <w:b/>
          <w:sz w:val="24"/>
          <w:szCs w:val="24"/>
        </w:rPr>
      </w:pPr>
      <w:r>
        <w:rPr>
          <w:rFonts w:hint="eastAsia" w:eastAsia="黑体"/>
          <w:b/>
          <w:sz w:val="24"/>
          <w:szCs w:val="24"/>
        </w:rPr>
        <w:t>1.</w:t>
      </w:r>
      <w:r>
        <w:rPr>
          <w:rFonts w:eastAsia="黑体"/>
          <w:b/>
          <w:sz w:val="24"/>
          <w:szCs w:val="24"/>
        </w:rPr>
        <w:t>计算烃类质量热值和比冲的</w:t>
      </w:r>
      <w:r>
        <w:rPr>
          <w:rFonts w:hint="eastAsia" w:eastAsia="黑体"/>
          <w:b/>
          <w:sz w:val="24"/>
          <w:szCs w:val="24"/>
          <w:lang w:val="en-US" w:eastAsia="zh-CN"/>
        </w:rPr>
        <w:t>基团贡献参数</w:t>
      </w:r>
    </w:p>
    <w:p w14:paraId="7F592277">
      <w:pPr>
        <w:ind w:firstLine="420" w:firstLineChars="200"/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C062880">
      <w:pPr>
        <w:widowControl/>
        <w:jc w:val="center"/>
        <w:rPr>
          <w:rFonts w:hint="default" w:ascii="Times New Roman" w:hAnsi="Times New Roman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A30E6CC">
      <w:pPr>
        <w:widowControl/>
        <w:jc w:val="center"/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附表1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基团贡献法计算烃类标准蒸发焓用到的基团</w:t>
      </w:r>
      <w:r>
        <w:rPr>
          <w:rFonts w:hint="eastAsia" w:cs="Times New Roman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及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其对应的贡献值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instrText xml:space="preserve"> ADDIN EN.CITE &lt;EndNote&gt;&lt;Cite&gt;&lt;Author&gt;Antoine Osmont&lt;/Author&gt;&lt;Year&gt;2008&lt;/Year&gt;&lt;RecNum&gt;154&lt;/RecNum&gt;&lt;DisplayText&gt;&lt;style face="superscript"&gt;[1, 2]&lt;/style&gt;&lt;/DisplayText&gt;&lt;record&gt;&lt;rec-number&gt;154&lt;/rec-number&gt;&lt;foreign-keys&gt;&lt;key app="EN" db-id="x52d2xpputz25oevrr1ptwrsszs5wesrdz9f" timestamp="1703519510"&gt;154&lt;/key&gt;&lt;key app="ENWeb" db-id=""&gt;0&lt;/key&gt;&lt;/foreign-keys&gt;&lt;ref-type name="Journal Article"&gt;17&lt;/ref-type&gt;&lt;contributors&gt;&lt;authors&gt;&lt;author&gt;Antoine Osmont, Laurent Catoire, Iskender Go¨kalp&lt;/author&gt;&lt;/authors&gt;&lt;/contributors&gt;&lt;titles&gt;&lt;title&gt;Physicochemical Properties and Thermochemistry of Propellanes&lt;/title&gt;&lt;secondary-title&gt;Energy &amp;amp; Fuel&lt;/secondary-title&gt;&lt;/titles&gt;&lt;periodical&gt;&lt;full-title&gt;Energy &amp;amp; Fuel&lt;/full-title&gt;&lt;/periodical&gt;&lt;volume&gt;22&lt;/volume&gt;&lt;num-vols&gt;2241-2257&lt;/num-vols&gt;&lt;dates&gt;&lt;year&gt;2008&lt;/year&gt;&lt;/dates&gt;&lt;urls&gt;&lt;/urls&gt;&lt;/record&gt;&lt;/Cite&gt;&lt;Cite&gt;&lt;Author&gt;Hukkerikar&lt;/Author&gt;&lt;Year&gt;2012&lt;/Year&gt;&lt;RecNum&gt;77&lt;/RecNum&gt;&lt;record&gt;&lt;rec-number&gt;77&lt;/rec-number&gt;&lt;foreign-keys&gt;&lt;key app="EN" db-id="x52d2xpputz25oevrr1ptwrsszs5wesrdz9f" timestamp="1667099119"&gt;77&lt;/key&gt;&lt;key app="ENWeb" db-id=""&gt;0&lt;/key&gt;&lt;/foreign-keys&gt;&lt;ref-type name="Journal Article"&gt;17&lt;/ref-type&gt;&lt;contributors&gt;&lt;authors&gt;&lt;author&gt;Hukkerikar, Amol Shivajirao&lt;/author&gt;&lt;author&gt;Sarup, Bent&lt;/author&gt;&lt;author&gt;Ten Kate, Antoon&lt;/author&gt;&lt;author&gt;Abildskov, Jens&lt;/author&gt;&lt;author&gt;Sin, Gürkan&lt;/author&gt;&lt;author&gt;Gani, Rafiqul&lt;/author&gt;&lt;/authors&gt;&lt;/contributors&gt;&lt;titles&gt;&lt;title&gt;Group-contribution+ (GC+) based estimation of properties of pure components: Improved property estimation and uncertainty analysis&lt;/title&gt;&lt;secondary-title&gt;Fluid Phase Equilibria&lt;/secondary-title&gt;&lt;/titles&gt;&lt;periodical&gt;&lt;full-title&gt;Fluid Phase Equilibria&lt;/full-title&gt;&lt;/periodical&gt;&lt;pages&gt;25-43&lt;/pages&gt;&lt;volume&gt;321&lt;/volume&gt;&lt;section&gt;25&lt;/section&gt;&lt;dates&gt;&lt;year&gt;2012&lt;/year&gt;&lt;/dates&gt;&lt;isbn&gt;03783812&lt;/isbn&gt;&lt;urls&gt;&lt;/urls&gt;&lt;electronic-resource-num&gt;10.1016/j.fluid.2012.02.010&lt;/electronic-resource-num&gt;&lt;/record&gt;&lt;/Cite&gt;&lt;/EndNote&gt;</w:instrTex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[1, 2]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fldChar w:fldCharType="end"/>
      </w:r>
    </w:p>
    <w:p w14:paraId="55A2A412">
      <w:pPr>
        <w:widowControl/>
        <w:jc w:val="center"/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Table 1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Groups and their contributions (group values </w:t>
      </w:r>
      <w:r>
        <w:rPr>
          <w:rFonts w:hint="default" w:ascii="Times New Roman" w:hAnsi="Times New Roman" w:cs="Times New Roman"/>
          <w:i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G</w:t>
      </w:r>
      <w:r>
        <w:rPr>
          <w:rFonts w:hint="default" w:ascii="Times New Roman" w:hAnsi="Times New Roman" w:cs="Times New Roman"/>
          <w:i/>
          <w:color w:val="000000" w:themeColor="text1"/>
          <w:sz w:val="18"/>
          <w:szCs w:val="18"/>
          <w:vertAlign w:val="subscript"/>
          <w14:textFill>
            <w14:solidFill>
              <w14:schemeClr w14:val="tx1"/>
            </w14:solidFill>
          </w14:textFill>
        </w:rPr>
        <w:t>i</w:t>
      </w:r>
      <w:r>
        <w:rPr>
          <w:rFonts w:hint="default" w:ascii="Times New Roman" w:hAnsi="Times New Roman" w:cs="Times New Roman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) to the estimation of properties used in calculations</w:t>
      </w:r>
    </w:p>
    <w:tbl>
      <w:tblPr>
        <w:tblStyle w:val="27"/>
        <w:tblW w:w="7729" w:type="dxa"/>
        <w:jc w:val="center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3"/>
        <w:gridCol w:w="4296"/>
      </w:tblGrid>
      <w:tr w14:paraId="5B50FB5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418F7AD7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Group</w:t>
            </w:r>
          </w:p>
        </w:tc>
        <w:tc>
          <w:tcPr>
            <w:tcW w:w="4296" w:type="dxa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5C26A95F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i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" w:cs="Times New Roman"/>
                <w:b w:val="0"/>
                <w:bCs/>
                <w:i/>
                <w:color w:val="254061" w:themeColor="accent1" w:themeShade="80"/>
                <w:sz w:val="18"/>
                <w:szCs w:val="18"/>
              </w:rPr>
              <w:t>Δ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i/>
                <w:color w:val="254061" w:themeColor="accent1" w:themeShade="80"/>
                <w:sz w:val="18"/>
                <w:szCs w:val="18"/>
                <w:vertAlign w:val="subscript"/>
              </w:rPr>
              <w:t>vap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i/>
                <w:color w:val="254061" w:themeColor="accent1" w:themeShade="80"/>
                <w:sz w:val="18"/>
                <w:szCs w:val="18"/>
              </w:rPr>
              <w:t>H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i/>
                <w:color w:val="254061" w:themeColor="accent1" w:themeShade="80"/>
                <w:sz w:val="18"/>
                <w:szCs w:val="18"/>
                <w:vertAlign w:val="superscript"/>
              </w:rPr>
              <w:t>0</w:t>
            </w:r>
            <w:r>
              <w:rPr>
                <w:rFonts w:hint="default" w:ascii="Times New Roman" w:hAnsi="Times New Roman" w:eastAsia="仿宋" w:cs="Times New Roman"/>
                <w:b w:val="0"/>
                <w:bCs/>
                <w:i/>
                <w:color w:val="254061" w:themeColor="accent1" w:themeShade="80"/>
                <w:sz w:val="18"/>
                <w:szCs w:val="18"/>
              </w:rPr>
              <w:t xml:space="preserve"> /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254061" w:themeColor="accent1" w:themeShade="80"/>
                <w:sz w:val="18"/>
                <w:szCs w:val="18"/>
              </w:rPr>
              <w:t>kJ mol</w:t>
            </w:r>
            <w:r>
              <w:rPr>
                <w:rFonts w:hint="default" w:ascii="Times New Roman" w:hAnsi="Times New Roman" w:eastAsia="仿宋" w:cs="Times New Roman"/>
                <w:b/>
                <w:bCs/>
                <w:color w:val="254061" w:themeColor="accent1" w:themeShade="80"/>
                <w:sz w:val="18"/>
                <w:szCs w:val="18"/>
                <w:vertAlign w:val="superscript"/>
              </w:rPr>
              <w:t>-1</w:t>
            </w:r>
          </w:p>
        </w:tc>
      </w:tr>
      <w:tr w14:paraId="5508C71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single" w:color="auto" w:sz="12" w:space="0"/>
              <w:bottom w:val="nil"/>
            </w:tcBorders>
            <w:vAlign w:val="center"/>
          </w:tcPr>
          <w:p w14:paraId="061A107B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296" w:type="dxa"/>
            <w:tcBorders>
              <w:top w:val="single" w:color="auto" w:sz="12" w:space="0"/>
              <w:bottom w:val="nil"/>
            </w:tcBorders>
            <w:vAlign w:val="center"/>
          </w:tcPr>
          <w:p w14:paraId="62A166A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0.217</w:t>
            </w:r>
          </w:p>
        </w:tc>
      </w:tr>
      <w:tr w14:paraId="71C4C45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5B9311DB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)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4D78A0BF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-0.399</w:t>
            </w:r>
          </w:p>
        </w:tc>
      </w:tr>
      <w:tr w14:paraId="37E47143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1B8AA474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)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335BEDE5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-0.417</w:t>
            </w:r>
          </w:p>
        </w:tc>
      </w:tr>
      <w:tr w14:paraId="6621CA2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59CE297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(cyclic)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164DAED0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3.341</w:t>
            </w:r>
          </w:p>
        </w:tc>
      </w:tr>
      <w:tr w14:paraId="3EF71088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3ED083D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CH(cyclic)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7228558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6.416</w:t>
            </w:r>
          </w:p>
        </w:tc>
      </w:tr>
      <w:tr w14:paraId="516EA23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0989D4C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C(cyclic)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3842197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7.017</w:t>
            </w:r>
          </w:p>
        </w:tc>
      </w:tr>
      <w:tr w14:paraId="0959092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496BAFD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CH(multiring)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530A4389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-2.225</w:t>
            </w:r>
          </w:p>
        </w:tc>
      </w:tr>
      <w:tr w14:paraId="199C09B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3AA52F6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C(multiring)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7B9E4FB7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-2.030</w:t>
            </w:r>
          </w:p>
        </w:tc>
      </w:tr>
      <w:tr w14:paraId="01CBFAAE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5C8CFE0A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cyc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 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119C25E1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0.096</w:t>
            </w:r>
          </w:p>
        </w:tc>
      </w:tr>
      <w:tr w14:paraId="1C63F89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6542CB1F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cyc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 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5FA6CC76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-0.428</w:t>
            </w:r>
          </w:p>
        </w:tc>
      </w:tr>
      <w:tr w14:paraId="4CFE578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5FF50593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cyc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 CH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1E6698CA"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0.153</w:t>
            </w:r>
          </w:p>
        </w:tc>
      </w:tr>
      <w:tr w14:paraId="2E0E2E1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nil"/>
            </w:tcBorders>
            <w:vAlign w:val="center"/>
          </w:tcPr>
          <w:p w14:paraId="0FE057B2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cyc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 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4296" w:type="dxa"/>
            <w:tcBorders>
              <w:top w:val="nil"/>
              <w:bottom w:val="nil"/>
            </w:tcBorders>
            <w:vAlign w:val="center"/>
          </w:tcPr>
          <w:p w14:paraId="7AE2650A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0.808</w:t>
            </w:r>
          </w:p>
        </w:tc>
      </w:tr>
      <w:tr w14:paraId="2BFF59EA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  <w:jc w:val="center"/>
        </w:trPr>
        <w:tc>
          <w:tcPr>
            <w:tcW w:w="3433" w:type="dxa"/>
            <w:tcBorders>
              <w:top w:val="nil"/>
              <w:bottom w:val="single" w:color="auto" w:sz="12" w:space="0"/>
            </w:tcBorders>
            <w:vAlign w:val="center"/>
          </w:tcPr>
          <w:p w14:paraId="3D220BE0">
            <w:pPr>
              <w:widowControl/>
              <w:jc w:val="center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cyc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- CH</w:t>
            </w: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18"/>
                <w:szCs w:val="18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4296" w:type="dxa"/>
            <w:tcBorders>
              <w:top w:val="nil"/>
              <w:bottom w:val="single" w:color="auto" w:sz="12" w:space="0"/>
            </w:tcBorders>
            <w:vAlign w:val="bottom"/>
          </w:tcPr>
          <w:p w14:paraId="4734C227"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0.585</w:t>
            </w:r>
          </w:p>
        </w:tc>
      </w:tr>
    </w:tbl>
    <w:p w14:paraId="6823662E">
      <w:pPr>
        <w:spacing w:before="328" w:beforeLines="100"/>
        <w:rPr>
          <w:rFonts w:hint="eastAsia" w:eastAsia="黑体"/>
          <w:b/>
          <w:sz w:val="24"/>
          <w:szCs w:val="24"/>
        </w:rPr>
        <w:sectPr>
          <w:headerReference r:id="rId3" w:type="default"/>
          <w:footerReference r:id="rId4" w:type="default"/>
          <w:pgSz w:w="11906" w:h="16838"/>
          <w:pgMar w:top="1588" w:right="1021" w:bottom="1021" w:left="1021" w:header="1134" w:footer="567" w:gutter="0"/>
          <w:cols w:space="425" w:num="1"/>
          <w:docGrid w:type="lines" w:linePitch="328" w:charSpace="6144"/>
        </w:sectPr>
      </w:pPr>
      <w:bookmarkStart w:id="0" w:name="_GoBack"/>
      <w:bookmarkEnd w:id="0"/>
    </w:p>
    <w:p w14:paraId="6DE8A4C1">
      <w:pPr>
        <w:spacing w:before="328" w:beforeLines="100"/>
        <w:rPr>
          <w:rFonts w:hint="eastAsia" w:eastAsia="黑体"/>
          <w:b/>
          <w:sz w:val="24"/>
          <w:szCs w:val="24"/>
        </w:rPr>
      </w:pPr>
      <w:r>
        <w:rPr>
          <w:rFonts w:hint="eastAsia" w:eastAsia="黑体"/>
          <w:b/>
          <w:sz w:val="24"/>
          <w:szCs w:val="24"/>
        </w:rPr>
        <w:t>2.</w:t>
      </w:r>
      <w:r>
        <w:rPr>
          <w:rFonts w:hint="eastAsia" w:eastAsia="黑体"/>
          <w:b/>
          <w:sz w:val="24"/>
          <w:szCs w:val="24"/>
          <w:lang w:val="en-US" w:eastAsia="zh-CN"/>
        </w:rPr>
        <w:t>机器学习</w:t>
      </w:r>
      <w:r>
        <w:rPr>
          <w:rFonts w:hint="eastAsia" w:eastAsia="黑体"/>
          <w:b/>
          <w:sz w:val="24"/>
          <w:szCs w:val="24"/>
        </w:rPr>
        <w:t>模型预测不同性质的精度</w:t>
      </w:r>
    </w:p>
    <w:p w14:paraId="0FBC3EAF">
      <w:pPr>
        <w:jc w:val="both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6253480" cy="2598420"/>
            <wp:effectExtent l="0" t="0" r="762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348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287B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eastAsia="宋体"/>
          <w:sz w:val="18"/>
          <w:szCs w:val="18"/>
          <w:highlight w:val="none"/>
          <w:lang w:eastAsia="zh-CN"/>
        </w:rPr>
      </w:pP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附</w:t>
      </w:r>
      <w:r>
        <w:rPr>
          <w:rFonts w:hint="eastAsia"/>
          <w:b/>
          <w:bCs/>
          <w:sz w:val="18"/>
          <w:szCs w:val="18"/>
          <w:highlight w:val="none"/>
        </w:rPr>
        <w:t>图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1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b w:val="0"/>
          <w:bCs w:val="0"/>
          <w:sz w:val="18"/>
          <w:szCs w:val="18"/>
          <w:highlight w:val="none"/>
          <w:lang w:val="en-US" w:eastAsia="zh-CN"/>
        </w:rPr>
        <w:t>决策树</w:t>
      </w:r>
      <w:r>
        <w:rPr>
          <w:rFonts w:hint="eastAsia"/>
          <w:sz w:val="18"/>
          <w:szCs w:val="18"/>
          <w:highlight w:val="none"/>
        </w:rPr>
        <w:t>回归模型</w:t>
      </w:r>
      <w:r>
        <w:rPr>
          <w:sz w:val="18"/>
          <w:szCs w:val="18"/>
          <w:highlight w:val="none"/>
        </w:rPr>
        <w:t>预测不同</w:t>
      </w:r>
      <w:r>
        <w:rPr>
          <w:rFonts w:hint="eastAsia"/>
          <w:sz w:val="18"/>
          <w:szCs w:val="18"/>
          <w:highlight w:val="none"/>
          <w:lang w:val="en-US" w:eastAsia="zh-CN"/>
        </w:rPr>
        <w:t>烃类分子</w:t>
      </w:r>
      <w:r>
        <w:rPr>
          <w:sz w:val="18"/>
          <w:szCs w:val="18"/>
          <w:highlight w:val="none"/>
        </w:rPr>
        <w:t>性质（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ρ</w:t>
      </w:r>
      <w:r>
        <w:rPr>
          <w:rFonts w:hint="eastAsia"/>
          <w:i/>
          <w:iCs/>
          <w:sz w:val="18"/>
          <w:szCs w:val="18"/>
          <w:highlight w:val="none"/>
          <w:lang w:eastAsia="zh-CN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H、G</w:t>
      </w:r>
      <w:r>
        <w:rPr>
          <w:sz w:val="18"/>
          <w:szCs w:val="18"/>
          <w:highlight w:val="none"/>
        </w:rPr>
        <w:t>）的</w:t>
      </w:r>
      <w:r>
        <w:rPr>
          <w:rFonts w:hint="eastAsia"/>
          <w:sz w:val="18"/>
          <w:szCs w:val="18"/>
          <w:highlight w:val="none"/>
          <w:lang w:val="en-US" w:eastAsia="zh-CN"/>
        </w:rPr>
        <w:t>预测值与理论计算值</w:t>
      </w:r>
      <w:r>
        <w:rPr>
          <w:sz w:val="18"/>
          <w:szCs w:val="18"/>
          <w:highlight w:val="none"/>
        </w:rPr>
        <w:t>结果比较</w:t>
      </w:r>
      <w:r>
        <w:rPr>
          <w:rFonts w:hint="eastAsia"/>
          <w:sz w:val="18"/>
          <w:szCs w:val="18"/>
          <w:highlight w:val="none"/>
          <w:lang w:eastAsia="zh-CN"/>
        </w:rPr>
        <w:t>（</w:t>
      </w:r>
      <w:r>
        <w:rPr>
          <w:rFonts w:hint="eastAsia"/>
          <w:sz w:val="18"/>
          <w:szCs w:val="18"/>
          <w:highlight w:val="none"/>
          <w:lang w:val="en-US" w:eastAsia="zh-CN"/>
        </w:rPr>
        <w:t>图中预测误差是模型在测试集上的预测误差</w:t>
      </w:r>
      <w:r>
        <w:rPr>
          <w:rFonts w:hint="eastAsia"/>
          <w:sz w:val="18"/>
          <w:szCs w:val="18"/>
          <w:highlight w:val="none"/>
          <w:lang w:eastAsia="zh-CN"/>
        </w:rPr>
        <w:t>）</w:t>
      </w:r>
    </w:p>
    <w:p w14:paraId="66C121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eastAsia="宋体"/>
          <w:sz w:val="18"/>
          <w:szCs w:val="18"/>
          <w:highlight w:val="none"/>
          <w:lang w:val="en-US" w:eastAsia="zh-CN"/>
        </w:rPr>
      </w:pPr>
      <w:r>
        <w:rPr>
          <w:rFonts w:hint="eastAsia"/>
          <w:b/>
          <w:bCs/>
          <w:sz w:val="18"/>
          <w:szCs w:val="18"/>
          <w:highlight w:val="none"/>
        </w:rPr>
        <w:t xml:space="preserve">Fig. 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1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sz w:val="18"/>
          <w:szCs w:val="18"/>
          <w:highlight w:val="none"/>
        </w:rPr>
        <w:t>Comparison of predict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ed and </w:t>
      </w:r>
      <w:r>
        <w:rPr>
          <w:rFonts w:hint="eastAsia"/>
          <w:sz w:val="18"/>
          <w:szCs w:val="18"/>
          <w:highlight w:val="none"/>
        </w:rPr>
        <w:t>experimental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values for </w:t>
      </w:r>
      <w:r>
        <w:rPr>
          <w:rFonts w:hint="eastAsia"/>
          <w:sz w:val="18"/>
          <w:szCs w:val="18"/>
          <w:highlight w:val="none"/>
        </w:rPr>
        <w:t>different properties (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 xml:space="preserve">, 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 xml:space="preserve">, </w:t>
      </w:r>
      <w:r>
        <w:rPr>
          <w:i/>
          <w:iCs/>
          <w:sz w:val="18"/>
          <w:szCs w:val="18"/>
          <w:highlight w:val="none"/>
        </w:rPr>
        <w:t>ρ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>,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H, G</w:t>
      </w:r>
      <w:r>
        <w:rPr>
          <w:rFonts w:hint="eastAsia"/>
          <w:sz w:val="18"/>
          <w:szCs w:val="18"/>
          <w:highlight w:val="none"/>
        </w:rPr>
        <w:t xml:space="preserve">)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Decision Tree Regressor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(the prediction error in the figure is on the test set)</w:t>
      </w:r>
    </w:p>
    <w:p w14:paraId="4A2193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18"/>
          <w:szCs w:val="18"/>
          <w:highlight w:val="yellow"/>
          <w:lang w:val="en-US" w:eastAsia="zh-CN"/>
        </w:rPr>
      </w:pPr>
    </w:p>
    <w:p w14:paraId="544A4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18"/>
          <w:szCs w:val="18"/>
          <w:highlight w:val="none"/>
          <w:lang w:val="en-US" w:eastAsia="zh-CN"/>
        </w:rPr>
      </w:pPr>
      <w:r>
        <w:drawing>
          <wp:inline distT="0" distB="0" distL="114300" distR="114300">
            <wp:extent cx="6297930" cy="2592070"/>
            <wp:effectExtent l="0" t="0" r="127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9793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B22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eastAsia="宋体"/>
          <w:sz w:val="18"/>
          <w:szCs w:val="18"/>
          <w:highlight w:val="none"/>
          <w:lang w:eastAsia="zh-CN"/>
        </w:rPr>
      </w:pP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附</w:t>
      </w:r>
      <w:r>
        <w:rPr>
          <w:rFonts w:hint="eastAsia"/>
          <w:b/>
          <w:bCs/>
          <w:sz w:val="18"/>
          <w:szCs w:val="18"/>
          <w:highlight w:val="none"/>
        </w:rPr>
        <w:t>图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2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b w:val="0"/>
          <w:bCs w:val="0"/>
          <w:sz w:val="18"/>
          <w:szCs w:val="18"/>
          <w:highlight w:val="none"/>
          <w:lang w:val="en-US" w:eastAsia="zh-CN"/>
        </w:rPr>
        <w:t>交叉验证的</w:t>
      </w:r>
      <w:r>
        <w:rPr>
          <w:rFonts w:hint="eastAsia"/>
          <w:bCs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最小绝对收缩选择算子</w:t>
      </w:r>
      <w:r>
        <w:rPr>
          <w:rFonts w:hint="eastAsia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回归</w:t>
      </w:r>
      <w:r>
        <w:rPr>
          <w:rFonts w:hint="eastAsia"/>
          <w:sz w:val="18"/>
          <w:szCs w:val="18"/>
          <w:highlight w:val="none"/>
        </w:rPr>
        <w:t>模型</w:t>
      </w:r>
      <w:r>
        <w:rPr>
          <w:sz w:val="18"/>
          <w:szCs w:val="18"/>
          <w:highlight w:val="none"/>
        </w:rPr>
        <w:t>预测不同</w:t>
      </w:r>
      <w:r>
        <w:rPr>
          <w:rFonts w:hint="eastAsia"/>
          <w:sz w:val="18"/>
          <w:szCs w:val="18"/>
          <w:highlight w:val="none"/>
          <w:lang w:val="en-US" w:eastAsia="zh-CN"/>
        </w:rPr>
        <w:t>烃类分子</w:t>
      </w:r>
      <w:r>
        <w:rPr>
          <w:sz w:val="18"/>
          <w:szCs w:val="18"/>
          <w:highlight w:val="none"/>
        </w:rPr>
        <w:t>性质（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ρ</w:t>
      </w:r>
      <w:r>
        <w:rPr>
          <w:rFonts w:hint="eastAsia"/>
          <w:i/>
          <w:iCs/>
          <w:sz w:val="18"/>
          <w:szCs w:val="18"/>
          <w:highlight w:val="none"/>
          <w:lang w:eastAsia="zh-CN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H、G</w:t>
      </w:r>
      <w:r>
        <w:rPr>
          <w:sz w:val="18"/>
          <w:szCs w:val="18"/>
          <w:highlight w:val="none"/>
        </w:rPr>
        <w:t>）的</w:t>
      </w:r>
      <w:r>
        <w:rPr>
          <w:rFonts w:hint="eastAsia"/>
          <w:sz w:val="18"/>
          <w:szCs w:val="18"/>
          <w:highlight w:val="none"/>
          <w:lang w:val="en-US" w:eastAsia="zh-CN"/>
        </w:rPr>
        <w:t>预测值与理论计算值</w:t>
      </w:r>
      <w:r>
        <w:rPr>
          <w:sz w:val="18"/>
          <w:szCs w:val="18"/>
          <w:highlight w:val="none"/>
        </w:rPr>
        <w:t>结果比较</w:t>
      </w:r>
      <w:r>
        <w:rPr>
          <w:rFonts w:hint="eastAsia"/>
          <w:sz w:val="18"/>
          <w:szCs w:val="18"/>
          <w:highlight w:val="none"/>
          <w:lang w:eastAsia="zh-CN"/>
        </w:rPr>
        <w:t>（</w:t>
      </w:r>
      <w:r>
        <w:rPr>
          <w:rFonts w:hint="eastAsia"/>
          <w:sz w:val="18"/>
          <w:szCs w:val="18"/>
          <w:highlight w:val="none"/>
          <w:lang w:val="en-US" w:eastAsia="zh-CN"/>
        </w:rPr>
        <w:t>图中预测误差是模型在测试集上的预测误差</w:t>
      </w:r>
      <w:r>
        <w:rPr>
          <w:rFonts w:hint="eastAsia"/>
          <w:sz w:val="18"/>
          <w:szCs w:val="18"/>
          <w:highlight w:val="none"/>
          <w:lang w:eastAsia="zh-CN"/>
        </w:rPr>
        <w:t>）</w:t>
      </w:r>
    </w:p>
    <w:p w14:paraId="03858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sz w:val="18"/>
          <w:szCs w:val="18"/>
          <w:highlight w:val="none"/>
          <w:lang w:val="en-US" w:eastAsia="zh-CN"/>
        </w:rPr>
      </w:pPr>
      <w:r>
        <w:rPr>
          <w:rFonts w:hint="eastAsia"/>
          <w:b/>
          <w:bCs/>
          <w:sz w:val="18"/>
          <w:szCs w:val="18"/>
          <w:highlight w:val="none"/>
        </w:rPr>
        <w:t xml:space="preserve">Fig. 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2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sz w:val="18"/>
          <w:szCs w:val="18"/>
          <w:highlight w:val="none"/>
        </w:rPr>
        <w:t>Comparison of predict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ed and </w:t>
      </w:r>
      <w:r>
        <w:rPr>
          <w:rFonts w:hint="eastAsia"/>
          <w:sz w:val="18"/>
          <w:szCs w:val="18"/>
          <w:highlight w:val="none"/>
        </w:rPr>
        <w:t>experimental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values for </w:t>
      </w:r>
      <w:r>
        <w:rPr>
          <w:rFonts w:hint="eastAsia"/>
          <w:sz w:val="18"/>
          <w:szCs w:val="18"/>
          <w:highlight w:val="none"/>
        </w:rPr>
        <w:t>different properties (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 xml:space="preserve">, 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 xml:space="preserve">, </w:t>
      </w:r>
      <w:r>
        <w:rPr>
          <w:i/>
          <w:iCs/>
          <w:sz w:val="18"/>
          <w:szCs w:val="18"/>
          <w:highlight w:val="none"/>
        </w:rPr>
        <w:t>ρ</w:t>
      </w:r>
      <w:r>
        <w:rPr>
          <w:rFonts w:hint="eastAsia"/>
          <w:i w:val="0"/>
          <w:iCs w:val="0"/>
          <w:sz w:val="18"/>
          <w:szCs w:val="18"/>
          <w:highlight w:val="none"/>
          <w:lang w:val="en-US" w:eastAsia="zh-CN"/>
        </w:rPr>
        <w:t>,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H, G</w:t>
      </w:r>
      <w:r>
        <w:rPr>
          <w:rFonts w:hint="eastAsia"/>
          <w:sz w:val="18"/>
          <w:szCs w:val="18"/>
          <w:highlight w:val="none"/>
        </w:rPr>
        <w:t xml:space="preserve">) by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Lasso CV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(the prediction error in the figure is on the test set)</w:t>
      </w:r>
    </w:p>
    <w:p w14:paraId="6FB536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/>
          <w:sz w:val="18"/>
          <w:szCs w:val="18"/>
          <w:highlight w:val="none"/>
          <w:lang w:val="en-US" w:eastAsia="zh-CN"/>
        </w:rPr>
      </w:pPr>
    </w:p>
    <w:p w14:paraId="7C79F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18"/>
          <w:szCs w:val="18"/>
          <w:highlight w:val="none"/>
        </w:rPr>
      </w:pPr>
      <w:r>
        <w:drawing>
          <wp:inline distT="0" distB="0" distL="114300" distR="114300">
            <wp:extent cx="6330315" cy="1839595"/>
            <wp:effectExtent l="0" t="0" r="6985" b="190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30315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30D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eastAsia="宋体"/>
          <w:sz w:val="18"/>
          <w:szCs w:val="18"/>
          <w:highlight w:val="none"/>
          <w:lang w:eastAsia="zh-CN"/>
        </w:rPr>
      </w:pPr>
      <w:r>
        <w:rPr>
          <w:rFonts w:hint="eastAsia"/>
          <w:b/>
          <w:bCs/>
          <w:sz w:val="18"/>
          <w:szCs w:val="18"/>
          <w:highlight w:val="none"/>
        </w:rPr>
        <w:t xml:space="preserve">图3 </w:t>
      </w:r>
      <w:r>
        <w:rPr>
          <w:rFonts w:hint="eastAsia"/>
          <w:b w:val="0"/>
          <w:bCs w:val="0"/>
          <w:sz w:val="18"/>
          <w:szCs w:val="18"/>
          <w:highlight w:val="none"/>
          <w:lang w:val="en-US" w:eastAsia="zh-CN"/>
        </w:rPr>
        <w:t>交叉验证的岭</w:t>
      </w:r>
      <w:r>
        <w:rPr>
          <w:rFonts w:hint="eastAsia"/>
          <w:sz w:val="18"/>
          <w:szCs w:val="18"/>
          <w:highlight w:val="none"/>
        </w:rPr>
        <w:t>回归模型</w:t>
      </w:r>
      <w:r>
        <w:rPr>
          <w:sz w:val="18"/>
          <w:szCs w:val="18"/>
          <w:highlight w:val="none"/>
        </w:rPr>
        <w:t>预测不同</w:t>
      </w:r>
      <w:r>
        <w:rPr>
          <w:rFonts w:hint="eastAsia"/>
          <w:sz w:val="18"/>
          <w:szCs w:val="18"/>
          <w:highlight w:val="none"/>
          <w:lang w:val="en-US" w:eastAsia="zh-CN"/>
        </w:rPr>
        <w:t>烃类分子</w:t>
      </w:r>
      <w:r>
        <w:rPr>
          <w:sz w:val="18"/>
          <w:szCs w:val="18"/>
          <w:highlight w:val="none"/>
        </w:rPr>
        <w:t>性质（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sz w:val="18"/>
          <w:szCs w:val="18"/>
          <w:highlight w:val="none"/>
        </w:rPr>
        <w:t>、</w:t>
      </w:r>
      <w:r>
        <w:rPr>
          <w:i/>
          <w:iCs/>
          <w:sz w:val="18"/>
          <w:szCs w:val="18"/>
          <w:highlight w:val="none"/>
        </w:rPr>
        <w:t>ρ</w:t>
      </w:r>
      <w:r>
        <w:rPr>
          <w:sz w:val="18"/>
          <w:szCs w:val="18"/>
          <w:highlight w:val="none"/>
        </w:rPr>
        <w:t>）的</w:t>
      </w:r>
      <w:r>
        <w:rPr>
          <w:rFonts w:hint="eastAsia"/>
          <w:sz w:val="18"/>
          <w:szCs w:val="18"/>
          <w:highlight w:val="none"/>
          <w:lang w:val="en-US" w:eastAsia="zh-CN"/>
        </w:rPr>
        <w:t>预测值与实验值</w:t>
      </w:r>
      <w:r>
        <w:rPr>
          <w:sz w:val="18"/>
          <w:szCs w:val="18"/>
          <w:highlight w:val="none"/>
        </w:rPr>
        <w:t>结果比较</w:t>
      </w:r>
      <w:r>
        <w:rPr>
          <w:rFonts w:hint="eastAsia"/>
          <w:sz w:val="18"/>
          <w:szCs w:val="18"/>
          <w:highlight w:val="none"/>
          <w:lang w:eastAsia="zh-CN"/>
        </w:rPr>
        <w:t>（</w:t>
      </w:r>
      <w:r>
        <w:rPr>
          <w:rFonts w:hint="eastAsia"/>
          <w:sz w:val="18"/>
          <w:szCs w:val="18"/>
          <w:highlight w:val="none"/>
          <w:lang w:val="en-US" w:eastAsia="zh-CN"/>
        </w:rPr>
        <w:t>图中预测误差是模型在测试集上的预测误差</w:t>
      </w:r>
      <w:r>
        <w:rPr>
          <w:rFonts w:hint="eastAsia"/>
          <w:sz w:val="18"/>
          <w:szCs w:val="18"/>
          <w:highlight w:val="none"/>
          <w:lang w:eastAsia="zh-CN"/>
        </w:rPr>
        <w:t>）</w:t>
      </w:r>
    </w:p>
    <w:p w14:paraId="12B8CC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eastAsia="宋体"/>
          <w:sz w:val="18"/>
          <w:szCs w:val="18"/>
          <w:highlight w:val="none"/>
          <w:lang w:val="en-US" w:eastAsia="zh-CN"/>
        </w:rPr>
      </w:pPr>
      <w:r>
        <w:rPr>
          <w:rFonts w:hint="eastAsia"/>
          <w:b/>
          <w:bCs/>
          <w:sz w:val="18"/>
          <w:szCs w:val="18"/>
          <w:highlight w:val="none"/>
        </w:rPr>
        <w:t xml:space="preserve">Fig. 3 </w:t>
      </w:r>
      <w:r>
        <w:rPr>
          <w:rFonts w:hint="eastAsia"/>
          <w:sz w:val="18"/>
          <w:szCs w:val="18"/>
          <w:highlight w:val="none"/>
        </w:rPr>
        <w:t>Comparison of predict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ed and </w:t>
      </w:r>
      <w:r>
        <w:rPr>
          <w:rFonts w:hint="eastAsia"/>
          <w:sz w:val="18"/>
          <w:szCs w:val="18"/>
          <w:highlight w:val="none"/>
        </w:rPr>
        <w:t>experimental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values for </w:t>
      </w:r>
      <w:r>
        <w:rPr>
          <w:rFonts w:hint="eastAsia"/>
          <w:sz w:val="18"/>
          <w:szCs w:val="18"/>
          <w:highlight w:val="none"/>
        </w:rPr>
        <w:t>different properties (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m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i/>
          <w:iCs/>
          <w:sz w:val="18"/>
          <w:szCs w:val="18"/>
          <w:highlight w:val="none"/>
        </w:rPr>
        <w:t>T</w:t>
      </w:r>
      <w:r>
        <w:rPr>
          <w:i/>
          <w:iCs/>
          <w:sz w:val="18"/>
          <w:szCs w:val="18"/>
          <w:highlight w:val="none"/>
          <w:vertAlign w:val="subscript"/>
        </w:rPr>
        <w:t>b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i/>
          <w:iCs/>
          <w:sz w:val="18"/>
          <w:szCs w:val="18"/>
          <w:highlight w:val="none"/>
        </w:rPr>
        <w:t>ρ</w:t>
      </w:r>
      <w:r>
        <w:rPr>
          <w:rFonts w:hint="eastAsia"/>
          <w:sz w:val="18"/>
          <w:szCs w:val="18"/>
          <w:highlight w:val="none"/>
        </w:rPr>
        <w:t xml:space="preserve">)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Ridge CV models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(the prediction error in the figure is on the test set)</w:t>
      </w:r>
    </w:p>
    <w:p w14:paraId="0622F0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18"/>
          <w:szCs w:val="18"/>
          <w:highlight w:val="none"/>
          <w:lang w:val="en-US" w:eastAsia="zh-CN"/>
        </w:rPr>
      </w:pPr>
    </w:p>
    <w:p w14:paraId="72739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sz w:val="18"/>
          <w:szCs w:val="18"/>
          <w:highlight w:val="none"/>
          <w:lang w:val="en-US" w:eastAsia="zh-CN"/>
        </w:rPr>
      </w:pPr>
      <w:r>
        <w:drawing>
          <wp:inline distT="0" distB="0" distL="114300" distR="114300">
            <wp:extent cx="4423410" cy="3503295"/>
            <wp:effectExtent l="0" t="0" r="8890" b="190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23410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AED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eastAsia="宋体"/>
          <w:sz w:val="18"/>
          <w:szCs w:val="18"/>
          <w:highlight w:val="none"/>
          <w:lang w:eastAsia="zh-CN"/>
        </w:rPr>
      </w:pP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附</w:t>
      </w:r>
      <w:r>
        <w:rPr>
          <w:rFonts w:hint="eastAsia"/>
          <w:b/>
          <w:bCs/>
          <w:sz w:val="18"/>
          <w:szCs w:val="18"/>
          <w:highlight w:val="none"/>
        </w:rPr>
        <w:t>图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4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sz w:val="18"/>
          <w:szCs w:val="18"/>
          <w:highlight w:val="none"/>
        </w:rPr>
        <w:t>极限梯度提升回归模型</w:t>
      </w:r>
      <w:r>
        <w:rPr>
          <w:sz w:val="18"/>
          <w:szCs w:val="18"/>
          <w:highlight w:val="none"/>
        </w:rPr>
        <w:t>预测不同</w:t>
      </w:r>
      <w:r>
        <w:rPr>
          <w:rFonts w:hint="eastAsia"/>
          <w:sz w:val="18"/>
          <w:szCs w:val="18"/>
          <w:highlight w:val="none"/>
          <w:lang w:val="en-US" w:eastAsia="zh-CN"/>
        </w:rPr>
        <w:t>烃类分子</w:t>
      </w:r>
      <w:r>
        <w:rPr>
          <w:sz w:val="18"/>
          <w:szCs w:val="18"/>
          <w:highlight w:val="none"/>
        </w:rPr>
        <w:t>性质（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sz w:val="18"/>
          <w:szCs w:val="18"/>
          <w:highlight w:val="none"/>
        </w:rPr>
        <w:t>、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H、G</w:t>
      </w:r>
      <w:r>
        <w:rPr>
          <w:sz w:val="18"/>
          <w:szCs w:val="18"/>
          <w:highlight w:val="none"/>
        </w:rPr>
        <w:t>）的</w:t>
      </w:r>
      <w:r>
        <w:rPr>
          <w:rFonts w:hint="eastAsia"/>
          <w:sz w:val="18"/>
          <w:szCs w:val="18"/>
          <w:highlight w:val="none"/>
          <w:lang w:val="en-US" w:eastAsia="zh-CN"/>
        </w:rPr>
        <w:t>预测值与理论计算值</w:t>
      </w:r>
      <w:r>
        <w:rPr>
          <w:sz w:val="18"/>
          <w:szCs w:val="18"/>
          <w:highlight w:val="none"/>
        </w:rPr>
        <w:t>结果比较</w:t>
      </w:r>
      <w:r>
        <w:rPr>
          <w:rFonts w:hint="eastAsia"/>
          <w:sz w:val="18"/>
          <w:szCs w:val="18"/>
          <w:highlight w:val="none"/>
          <w:lang w:eastAsia="zh-CN"/>
        </w:rPr>
        <w:t>（</w:t>
      </w:r>
      <w:r>
        <w:rPr>
          <w:rFonts w:hint="eastAsia"/>
          <w:sz w:val="18"/>
          <w:szCs w:val="18"/>
          <w:highlight w:val="none"/>
          <w:lang w:val="en-US" w:eastAsia="zh-CN"/>
        </w:rPr>
        <w:t>图中预测误差是模型在测试集上的预测误差</w:t>
      </w:r>
      <w:r>
        <w:rPr>
          <w:rFonts w:hint="eastAsia"/>
          <w:sz w:val="18"/>
          <w:szCs w:val="18"/>
          <w:highlight w:val="none"/>
          <w:lang w:eastAsia="zh-CN"/>
        </w:rPr>
        <w:t>）</w:t>
      </w:r>
    </w:p>
    <w:p w14:paraId="5CA60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eastAsia="宋体"/>
          <w:sz w:val="18"/>
          <w:szCs w:val="18"/>
          <w:highlight w:val="none"/>
          <w:lang w:val="en-US" w:eastAsia="zh-CN"/>
        </w:rPr>
      </w:pPr>
      <w:r>
        <w:rPr>
          <w:rFonts w:hint="eastAsia"/>
          <w:b/>
          <w:bCs/>
          <w:sz w:val="18"/>
          <w:szCs w:val="18"/>
          <w:highlight w:val="none"/>
        </w:rPr>
        <w:t xml:space="preserve">Fig. </w:t>
      </w:r>
      <w:r>
        <w:rPr>
          <w:rFonts w:hint="eastAsia"/>
          <w:b/>
          <w:bCs/>
          <w:sz w:val="18"/>
          <w:szCs w:val="18"/>
          <w:highlight w:val="none"/>
          <w:lang w:val="en-US" w:eastAsia="zh-CN"/>
        </w:rPr>
        <w:t>4</w:t>
      </w:r>
      <w:r>
        <w:rPr>
          <w:rFonts w:hint="eastAsia"/>
          <w:b/>
          <w:bCs/>
          <w:sz w:val="18"/>
          <w:szCs w:val="18"/>
          <w:highlight w:val="none"/>
        </w:rPr>
        <w:t xml:space="preserve"> </w:t>
      </w:r>
      <w:r>
        <w:rPr>
          <w:rFonts w:hint="eastAsia"/>
          <w:sz w:val="18"/>
          <w:szCs w:val="18"/>
          <w:highlight w:val="none"/>
        </w:rPr>
        <w:t>Comparison of predict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ed and </w:t>
      </w:r>
      <w:r>
        <w:rPr>
          <w:rFonts w:hint="eastAsia"/>
          <w:sz w:val="18"/>
          <w:szCs w:val="18"/>
          <w:highlight w:val="none"/>
        </w:rPr>
        <w:t>experimental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values for </w:t>
      </w:r>
      <w:r>
        <w:rPr>
          <w:rFonts w:hint="eastAsia"/>
          <w:sz w:val="18"/>
          <w:szCs w:val="18"/>
          <w:highlight w:val="none"/>
        </w:rPr>
        <w:t>different properties (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i/>
          <w:iCs/>
          <w:sz w:val="18"/>
          <w:szCs w:val="18"/>
          <w:highlight w:val="none"/>
          <w:vertAlign w:val="subscript"/>
          <w:lang w:val="en-US" w:eastAsia="zh-CN"/>
        </w:rPr>
        <w:t>0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U</w:t>
      </w:r>
      <w:r>
        <w:rPr>
          <w:rFonts w:hint="eastAsia"/>
          <w:sz w:val="18"/>
          <w:szCs w:val="18"/>
          <w:highlight w:val="none"/>
        </w:rPr>
        <w:t xml:space="preserve">, </w:t>
      </w:r>
      <w:r>
        <w:rPr>
          <w:rFonts w:hint="eastAsia"/>
          <w:i/>
          <w:iCs/>
          <w:sz w:val="18"/>
          <w:szCs w:val="18"/>
          <w:highlight w:val="none"/>
          <w:lang w:val="en-US" w:eastAsia="zh-CN"/>
        </w:rPr>
        <w:t>H, G</w:t>
      </w:r>
      <w:r>
        <w:rPr>
          <w:rFonts w:hint="eastAsia"/>
          <w:sz w:val="18"/>
          <w:szCs w:val="18"/>
          <w:highlight w:val="none"/>
        </w:rPr>
        <w:t>) by XGBoost Regressor</w:t>
      </w:r>
      <w:r>
        <w:rPr>
          <w:rFonts w:hint="eastAsia"/>
          <w:sz w:val="18"/>
          <w:szCs w:val="18"/>
          <w:highlight w:val="none"/>
          <w:lang w:val="en-US" w:eastAsia="zh-CN"/>
        </w:rPr>
        <w:t xml:space="preserve"> models (the prediction error in the figure is on the test set)</w:t>
      </w:r>
    </w:p>
    <w:p w14:paraId="273ECAC2">
      <w:pPr>
        <w:jc w:val="both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 w14:paraId="420FAA24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决策树回归模型预测不同性质在训练集、验证集、测试集和全集上的</w:t>
      </w:r>
      <w:r>
        <w:rPr>
          <w:rFonts w:hint="eastAsia"/>
          <w:bCs/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rFonts w:hint="eastAsia"/>
          <w:bCs/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</w:p>
    <w:p w14:paraId="0F81BD7C">
      <w:pPr>
        <w:jc w:val="center"/>
        <w:rPr>
          <w:sz w:val="18"/>
          <w:szCs w:val="18"/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of different properties predicete by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 Decision Tree Regressor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81"/>
        <w:gridCol w:w="1000"/>
        <w:gridCol w:w="995"/>
        <w:gridCol w:w="1090"/>
        <w:gridCol w:w="1140"/>
        <w:gridCol w:w="1160"/>
        <w:gridCol w:w="1593"/>
      </w:tblGrid>
      <w:tr w14:paraId="234E2092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5A71D86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4723D6F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9BAC95F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BCE522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923304F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7B30975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868E5B1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7D6A36D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56342F8B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6B2E984E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023F0C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0.9433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4A4E84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0.9889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2A259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0.9766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38550FE7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  <w:lang w:val="en-US" w:eastAsia="zh-CN"/>
              </w:rPr>
              <w:t>0.9999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3977C6D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  <w:lang w:val="en-US" w:eastAsia="zh-CN"/>
              </w:rPr>
              <w:t>0.9999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917B3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67E8C1E9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  <w:lang w:val="en-US" w:eastAsia="zh-CN"/>
              </w:rPr>
              <w:t>0.9999</w:t>
            </w:r>
          </w:p>
        </w:tc>
      </w:tr>
      <w:tr w14:paraId="7BDCA39C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0475C53C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81" w:type="dxa"/>
            <w:vAlign w:val="bottom"/>
          </w:tcPr>
          <w:p w14:paraId="2A2A50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0.7417</w:t>
            </w:r>
          </w:p>
        </w:tc>
        <w:tc>
          <w:tcPr>
            <w:tcW w:w="1000" w:type="dxa"/>
            <w:vAlign w:val="bottom"/>
          </w:tcPr>
          <w:p w14:paraId="1A0684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0.9483</w:t>
            </w:r>
          </w:p>
        </w:tc>
        <w:tc>
          <w:tcPr>
            <w:tcW w:w="995" w:type="dxa"/>
            <w:vAlign w:val="bottom"/>
          </w:tcPr>
          <w:p w14:paraId="1C3A49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0.7762</w:t>
            </w:r>
          </w:p>
        </w:tc>
        <w:tc>
          <w:tcPr>
            <w:tcW w:w="1090" w:type="dxa"/>
            <w:vAlign w:val="bottom"/>
          </w:tcPr>
          <w:p w14:paraId="3101FC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0.9983</w:t>
            </w:r>
          </w:p>
        </w:tc>
        <w:tc>
          <w:tcPr>
            <w:tcW w:w="1140" w:type="dxa"/>
            <w:vAlign w:val="bottom"/>
          </w:tcPr>
          <w:p w14:paraId="29034D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0.9972</w:t>
            </w:r>
          </w:p>
        </w:tc>
        <w:tc>
          <w:tcPr>
            <w:tcW w:w="1160" w:type="dxa"/>
            <w:vAlign w:val="bottom"/>
          </w:tcPr>
          <w:p w14:paraId="4635A0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0.9983</w:t>
            </w:r>
          </w:p>
        </w:tc>
        <w:tc>
          <w:tcPr>
            <w:tcW w:w="1593" w:type="dxa"/>
            <w:vAlign w:val="bottom"/>
          </w:tcPr>
          <w:p w14:paraId="1DD213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0.9989</w:t>
            </w:r>
          </w:p>
        </w:tc>
      </w:tr>
      <w:tr w14:paraId="1EA08854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2E94083F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81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7E3C1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0.8800</w:t>
            </w:r>
          </w:p>
        </w:tc>
        <w:tc>
          <w:tcPr>
            <w:tcW w:w="10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E62B8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0.9089</w:t>
            </w:r>
          </w:p>
        </w:tc>
        <w:tc>
          <w:tcPr>
            <w:tcW w:w="99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149BC1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0.9081</w:t>
            </w:r>
          </w:p>
        </w:tc>
        <w:tc>
          <w:tcPr>
            <w:tcW w:w="109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21E30C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0.9983</w:t>
            </w:r>
          </w:p>
        </w:tc>
        <w:tc>
          <w:tcPr>
            <w:tcW w:w="114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C1706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16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4B6E9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59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0CFD97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0.9993</w:t>
            </w:r>
          </w:p>
        </w:tc>
      </w:tr>
      <w:tr w14:paraId="073A10E1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455A4CD4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81" w:type="dxa"/>
            <w:tcBorders>
              <w:bottom w:val="single" w:color="7E7E7E" w:themeColor="text1" w:themeTint="80" w:sz="12" w:space="0"/>
            </w:tcBorders>
            <w:vAlign w:val="bottom"/>
          </w:tcPr>
          <w:p w14:paraId="5F4217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0.9291</w:t>
            </w:r>
          </w:p>
        </w:tc>
        <w:tc>
          <w:tcPr>
            <w:tcW w:w="1000" w:type="dxa"/>
            <w:tcBorders>
              <w:bottom w:val="single" w:color="7E7E7E" w:themeColor="text1" w:themeTint="80" w:sz="12" w:space="0"/>
            </w:tcBorders>
            <w:vAlign w:val="bottom"/>
          </w:tcPr>
          <w:p w14:paraId="7BD125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0.9826</w:t>
            </w:r>
          </w:p>
        </w:tc>
        <w:tc>
          <w:tcPr>
            <w:tcW w:w="995" w:type="dxa"/>
            <w:tcBorders>
              <w:bottom w:val="single" w:color="7E7E7E" w:themeColor="text1" w:themeTint="80" w:sz="12" w:space="0"/>
            </w:tcBorders>
            <w:vAlign w:val="bottom"/>
          </w:tcPr>
          <w:p w14:paraId="0E05F3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0.9647</w:t>
            </w:r>
          </w:p>
        </w:tc>
        <w:tc>
          <w:tcPr>
            <w:tcW w:w="1090" w:type="dxa"/>
            <w:tcBorders>
              <w:bottom w:val="single" w:color="7E7E7E" w:themeColor="text1" w:themeTint="80" w:sz="12" w:space="0"/>
            </w:tcBorders>
          </w:tcPr>
          <w:p w14:paraId="7E5A9FEE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sz w:val="18"/>
                <w:szCs w:val="18"/>
                <w:lang w:val="en-US" w:eastAsia="zh-CN"/>
              </w:rPr>
              <w:t>0.9999</w:t>
            </w:r>
          </w:p>
        </w:tc>
        <w:tc>
          <w:tcPr>
            <w:tcW w:w="1140" w:type="dxa"/>
            <w:tcBorders>
              <w:bottom w:val="single" w:color="7E7E7E" w:themeColor="text1" w:themeTint="80" w:sz="12" w:space="0"/>
            </w:tcBorders>
            <w:vAlign w:val="bottom"/>
          </w:tcPr>
          <w:p w14:paraId="7FC7DE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0.9998</w:t>
            </w:r>
          </w:p>
        </w:tc>
        <w:tc>
          <w:tcPr>
            <w:tcW w:w="1160" w:type="dxa"/>
            <w:tcBorders>
              <w:bottom w:val="single" w:color="7E7E7E" w:themeColor="text1" w:themeTint="80" w:sz="12" w:space="0"/>
            </w:tcBorders>
            <w:vAlign w:val="bottom"/>
          </w:tcPr>
          <w:p w14:paraId="29F6F46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93" w:type="dxa"/>
            <w:tcBorders>
              <w:bottom w:val="single" w:color="7E7E7E" w:themeColor="text1" w:themeTint="80" w:sz="12" w:space="0"/>
            </w:tcBorders>
            <w:vAlign w:val="bottom"/>
          </w:tcPr>
          <w:p w14:paraId="44349F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</w:tbl>
    <w:p w14:paraId="0B6FE00B">
      <w:pPr>
        <w:jc w:val="center"/>
        <w:rPr>
          <w:rFonts w:hint="default" w:eastAsia="宋体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决策树回归模型预测不同性质在训练集、验证集、测试集和全集上的</w:t>
      </w:r>
      <w:r>
        <w:rPr>
          <w:rFonts w:hint="eastAsia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MAEs</w:t>
      </w:r>
    </w:p>
    <w:p w14:paraId="2CBE7944">
      <w:pPr>
        <w:jc w:val="center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Decision Tree Regressor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76"/>
        <w:gridCol w:w="1065"/>
        <w:gridCol w:w="1065"/>
        <w:gridCol w:w="1100"/>
        <w:gridCol w:w="1050"/>
        <w:gridCol w:w="1220"/>
        <w:gridCol w:w="1483"/>
      </w:tblGrid>
      <w:tr w14:paraId="43ADAE04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2677424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0FF35AA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1EA1C5E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1125980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C1414D4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9C89963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D07E9EA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4A0253A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1C02DBD7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75C00B48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0C4182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13.2587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24977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5.3309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6A9C8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41E2D9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0.0276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6362DB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0.0276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9C505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0.0276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C61A3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0.0278</w:t>
            </w:r>
          </w:p>
        </w:tc>
      </w:tr>
      <w:tr w14:paraId="1015537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09CAA154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76" w:type="dxa"/>
            <w:vAlign w:val="bottom"/>
          </w:tcPr>
          <w:p w14:paraId="39A98E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25.5762</w:t>
            </w:r>
          </w:p>
        </w:tc>
        <w:tc>
          <w:tcPr>
            <w:tcW w:w="1065" w:type="dxa"/>
            <w:vAlign w:val="bottom"/>
          </w:tcPr>
          <w:p w14:paraId="0A9805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10.3328</w:t>
            </w:r>
          </w:p>
        </w:tc>
        <w:tc>
          <w:tcPr>
            <w:tcW w:w="1065" w:type="dxa"/>
            <w:vAlign w:val="bottom"/>
          </w:tcPr>
          <w:p w14:paraId="10D6A3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0.0314</w:t>
            </w:r>
          </w:p>
        </w:tc>
        <w:tc>
          <w:tcPr>
            <w:tcW w:w="1100" w:type="dxa"/>
            <w:vAlign w:val="bottom"/>
          </w:tcPr>
          <w:p w14:paraId="3ECDF8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1.5536</w:t>
            </w:r>
          </w:p>
        </w:tc>
        <w:tc>
          <w:tcPr>
            <w:tcW w:w="1050" w:type="dxa"/>
            <w:vAlign w:val="bottom"/>
          </w:tcPr>
          <w:p w14:paraId="6B047F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1.7777</w:t>
            </w:r>
          </w:p>
        </w:tc>
        <w:tc>
          <w:tcPr>
            <w:tcW w:w="1220" w:type="dxa"/>
            <w:vAlign w:val="bottom"/>
          </w:tcPr>
          <w:p w14:paraId="079302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1.4758</w:t>
            </w:r>
          </w:p>
        </w:tc>
        <w:tc>
          <w:tcPr>
            <w:tcW w:w="1483" w:type="dxa"/>
            <w:vAlign w:val="bottom"/>
          </w:tcPr>
          <w:p w14:paraId="6C4A92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1.1166</w:t>
            </w:r>
          </w:p>
        </w:tc>
      </w:tr>
      <w:tr w14:paraId="6299E9F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3EA8818A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76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EEEBA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24.0925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678448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15.2306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2AFE53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0.0266</w:t>
            </w:r>
          </w:p>
        </w:tc>
        <w:tc>
          <w:tcPr>
            <w:tcW w:w="11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DCE7E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0.7512</w:t>
            </w:r>
          </w:p>
        </w:tc>
        <w:tc>
          <w:tcPr>
            <w:tcW w:w="105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6523D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0.9946</w:t>
            </w:r>
          </w:p>
        </w:tc>
        <w:tc>
          <w:tcPr>
            <w:tcW w:w="122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722867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1.0476</w:t>
            </w:r>
          </w:p>
        </w:tc>
        <w:tc>
          <w:tcPr>
            <w:tcW w:w="148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2CE584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0.8138</w:t>
            </w:r>
          </w:p>
        </w:tc>
      </w:tr>
      <w:tr w14:paraId="565EF1A1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361B7AAE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76" w:type="dxa"/>
            <w:tcBorders>
              <w:bottom w:val="single" w:color="7E7E7E" w:themeColor="text1" w:themeTint="80" w:sz="12" w:space="0"/>
            </w:tcBorders>
            <w:vAlign w:val="bottom"/>
          </w:tcPr>
          <w:p w14:paraId="4582DD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14.4791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39C02F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6.0762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45E89A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254</w:t>
            </w:r>
          </w:p>
        </w:tc>
        <w:tc>
          <w:tcPr>
            <w:tcW w:w="1100" w:type="dxa"/>
            <w:tcBorders>
              <w:bottom w:val="single" w:color="7E7E7E" w:themeColor="text1" w:themeTint="80" w:sz="12" w:space="0"/>
            </w:tcBorders>
            <w:vAlign w:val="bottom"/>
          </w:tcPr>
          <w:p w14:paraId="78D4D0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0.1401</w:t>
            </w:r>
          </w:p>
        </w:tc>
        <w:tc>
          <w:tcPr>
            <w:tcW w:w="1050" w:type="dxa"/>
            <w:tcBorders>
              <w:bottom w:val="single" w:color="7E7E7E" w:themeColor="text1" w:themeTint="80" w:sz="12" w:space="0"/>
            </w:tcBorders>
            <w:vAlign w:val="bottom"/>
          </w:tcPr>
          <w:p w14:paraId="14FE6D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0.1635</w:t>
            </w:r>
          </w:p>
        </w:tc>
        <w:tc>
          <w:tcPr>
            <w:tcW w:w="1220" w:type="dxa"/>
            <w:tcBorders>
              <w:bottom w:val="single" w:color="7E7E7E" w:themeColor="text1" w:themeTint="80" w:sz="12" w:space="0"/>
            </w:tcBorders>
            <w:vAlign w:val="bottom"/>
          </w:tcPr>
          <w:p w14:paraId="59B6A1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0.1510</w:t>
            </w:r>
          </w:p>
        </w:tc>
        <w:tc>
          <w:tcPr>
            <w:tcW w:w="1483" w:type="dxa"/>
            <w:tcBorders>
              <w:bottom w:val="single" w:color="7E7E7E" w:themeColor="text1" w:themeTint="80" w:sz="12" w:space="0"/>
            </w:tcBorders>
            <w:vAlign w:val="bottom"/>
          </w:tcPr>
          <w:p w14:paraId="3A4112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</w:tr>
    </w:tbl>
    <w:p w14:paraId="633BE52F">
      <w:pPr>
        <w:jc w:val="both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 w14:paraId="3101CB73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交叉验证的</w:t>
      </w:r>
      <w:r>
        <w:rPr>
          <w:rFonts w:hint="eastAsia"/>
          <w:bCs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最小绝对收缩选择算子</w:t>
      </w:r>
      <w:r>
        <w:rPr>
          <w:rFonts w:hint="eastAsia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回归</w:t>
      </w:r>
      <w:r>
        <w:rPr>
          <w:rFonts w:hint="eastAsia"/>
          <w:bCs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模型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预测不同性质在训练集、验证集、测试集和全集上的</w:t>
      </w:r>
      <w:r>
        <w:rPr>
          <w:rFonts w:hint="eastAsia"/>
          <w:bCs/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rFonts w:hint="eastAsia"/>
          <w:bCs/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</w:p>
    <w:p w14:paraId="1F8BA5BB">
      <w:pPr>
        <w:jc w:val="center"/>
        <w:rPr>
          <w:sz w:val="18"/>
          <w:szCs w:val="18"/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Lasso CV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81"/>
        <w:gridCol w:w="1000"/>
        <w:gridCol w:w="995"/>
        <w:gridCol w:w="1090"/>
        <w:gridCol w:w="1140"/>
        <w:gridCol w:w="1160"/>
        <w:gridCol w:w="1593"/>
      </w:tblGrid>
      <w:tr w14:paraId="67E72859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CE281B3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EA96FB6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DF7263D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B4A4B1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2771A6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5EBF183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23771E5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D22042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01D6DAED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625AFD52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B6604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0.8073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97083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0.9524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0A057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0.9398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6A145A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93E61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0.9993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D5F46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0.9995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8035C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</w:tr>
      <w:tr w14:paraId="3034204C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53392B44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81" w:type="dxa"/>
            <w:vAlign w:val="bottom"/>
          </w:tcPr>
          <w:p w14:paraId="71E50C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0.8508</w:t>
            </w:r>
          </w:p>
        </w:tc>
        <w:tc>
          <w:tcPr>
            <w:tcW w:w="1000" w:type="dxa"/>
            <w:vAlign w:val="bottom"/>
          </w:tcPr>
          <w:p w14:paraId="197CA5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0.9284</w:t>
            </w:r>
          </w:p>
        </w:tc>
        <w:tc>
          <w:tcPr>
            <w:tcW w:w="995" w:type="dxa"/>
            <w:vAlign w:val="bottom"/>
          </w:tcPr>
          <w:p w14:paraId="58EC02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0.7865</w:t>
            </w:r>
          </w:p>
        </w:tc>
        <w:tc>
          <w:tcPr>
            <w:tcW w:w="1090" w:type="dxa"/>
            <w:vAlign w:val="bottom"/>
          </w:tcPr>
          <w:p w14:paraId="7A4A84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0.9993</w:t>
            </w:r>
          </w:p>
        </w:tc>
        <w:tc>
          <w:tcPr>
            <w:tcW w:w="1140" w:type="dxa"/>
            <w:vAlign w:val="bottom"/>
          </w:tcPr>
          <w:p w14:paraId="79507B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0.9993</w:t>
            </w:r>
          </w:p>
        </w:tc>
        <w:tc>
          <w:tcPr>
            <w:tcW w:w="1160" w:type="dxa"/>
            <w:vAlign w:val="bottom"/>
          </w:tcPr>
          <w:p w14:paraId="21497C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0.9995</w:t>
            </w:r>
          </w:p>
        </w:tc>
        <w:tc>
          <w:tcPr>
            <w:tcW w:w="1593" w:type="dxa"/>
            <w:vAlign w:val="bottom"/>
          </w:tcPr>
          <w:p w14:paraId="59F4EE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0.9993</w:t>
            </w:r>
          </w:p>
        </w:tc>
      </w:tr>
      <w:tr w14:paraId="4C2E3B59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5D46DCB6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81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FE160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0.8240</w:t>
            </w:r>
          </w:p>
        </w:tc>
        <w:tc>
          <w:tcPr>
            <w:tcW w:w="10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2FAD5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0.9732</w:t>
            </w:r>
          </w:p>
        </w:tc>
        <w:tc>
          <w:tcPr>
            <w:tcW w:w="99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15FDC8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0.9351</w:t>
            </w:r>
          </w:p>
        </w:tc>
        <w:tc>
          <w:tcPr>
            <w:tcW w:w="109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B5EFA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0.9994</w:t>
            </w:r>
          </w:p>
        </w:tc>
        <w:tc>
          <w:tcPr>
            <w:tcW w:w="114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221E4ED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0.9994</w:t>
            </w:r>
          </w:p>
        </w:tc>
        <w:tc>
          <w:tcPr>
            <w:tcW w:w="116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A6E4C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0.9997</w:t>
            </w:r>
          </w:p>
        </w:tc>
        <w:tc>
          <w:tcPr>
            <w:tcW w:w="159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51CA7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0.9994</w:t>
            </w:r>
          </w:p>
        </w:tc>
      </w:tr>
      <w:tr w14:paraId="66BEDA24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4E74873A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81" w:type="dxa"/>
            <w:tcBorders>
              <w:bottom w:val="single" w:color="7E7E7E" w:themeColor="text1" w:themeTint="80" w:sz="12" w:space="0"/>
            </w:tcBorders>
            <w:vAlign w:val="bottom"/>
          </w:tcPr>
          <w:p w14:paraId="19949C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0.8067</w:t>
            </w:r>
          </w:p>
        </w:tc>
        <w:tc>
          <w:tcPr>
            <w:tcW w:w="1000" w:type="dxa"/>
            <w:tcBorders>
              <w:bottom w:val="single" w:color="7E7E7E" w:themeColor="text1" w:themeTint="80" w:sz="12" w:space="0"/>
            </w:tcBorders>
            <w:vAlign w:val="bottom"/>
          </w:tcPr>
          <w:p w14:paraId="70D53A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0.9527</w:t>
            </w:r>
          </w:p>
        </w:tc>
        <w:tc>
          <w:tcPr>
            <w:tcW w:w="995" w:type="dxa"/>
            <w:tcBorders>
              <w:bottom w:val="single" w:color="7E7E7E" w:themeColor="text1" w:themeTint="80" w:sz="12" w:space="0"/>
            </w:tcBorders>
            <w:vAlign w:val="bottom"/>
          </w:tcPr>
          <w:p w14:paraId="16E1B3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0.9334</w:t>
            </w:r>
          </w:p>
        </w:tc>
        <w:tc>
          <w:tcPr>
            <w:tcW w:w="1090" w:type="dxa"/>
            <w:tcBorders>
              <w:bottom w:val="single" w:color="7E7E7E" w:themeColor="text1" w:themeTint="80" w:sz="12" w:space="0"/>
            </w:tcBorders>
            <w:vAlign w:val="bottom"/>
          </w:tcPr>
          <w:p w14:paraId="4CCC49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140" w:type="dxa"/>
            <w:tcBorders>
              <w:bottom w:val="single" w:color="7E7E7E" w:themeColor="text1" w:themeTint="80" w:sz="12" w:space="0"/>
            </w:tcBorders>
            <w:vAlign w:val="bottom"/>
          </w:tcPr>
          <w:p w14:paraId="508AE1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  <w:tc>
          <w:tcPr>
            <w:tcW w:w="1160" w:type="dxa"/>
            <w:tcBorders>
              <w:bottom w:val="single" w:color="7E7E7E" w:themeColor="text1" w:themeTint="80" w:sz="12" w:space="0"/>
            </w:tcBorders>
            <w:vAlign w:val="bottom"/>
          </w:tcPr>
          <w:p w14:paraId="1FA53B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0.9995</w:t>
            </w:r>
          </w:p>
        </w:tc>
        <w:tc>
          <w:tcPr>
            <w:tcW w:w="1593" w:type="dxa"/>
            <w:tcBorders>
              <w:bottom w:val="single" w:color="7E7E7E" w:themeColor="text1" w:themeTint="80" w:sz="12" w:space="0"/>
            </w:tcBorders>
            <w:vAlign w:val="bottom"/>
          </w:tcPr>
          <w:p w14:paraId="4640B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0.9992</w:t>
            </w:r>
          </w:p>
        </w:tc>
      </w:tr>
    </w:tbl>
    <w:p w14:paraId="553B5856">
      <w:pPr>
        <w:jc w:val="center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 w14:paraId="204F3024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交叉验证的</w:t>
      </w:r>
      <w:r>
        <w:rPr>
          <w:rFonts w:hint="eastAsia"/>
          <w:bCs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最小绝对收缩选择算子</w:t>
      </w:r>
      <w:r>
        <w:rPr>
          <w:rFonts w:hint="eastAsia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回归</w:t>
      </w:r>
      <w:r>
        <w:rPr>
          <w:rFonts w:hint="eastAsia"/>
          <w:bCs/>
          <w:color w:val="000000" w:themeColor="text1"/>
          <w:sz w:val="18"/>
          <w:szCs w:val="18"/>
          <w:lang w:eastAsia="zh-CN"/>
          <w14:textFill>
            <w14:solidFill>
              <w14:schemeClr w14:val="tx1"/>
            </w14:solidFill>
          </w14:textFill>
        </w:rPr>
        <w:t>模型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预测不同性质在训练集、验证集、测试集和全集上的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</w:p>
    <w:p w14:paraId="60C35DB8">
      <w:pPr>
        <w:jc w:val="center"/>
        <w:rPr>
          <w:sz w:val="18"/>
          <w:szCs w:val="18"/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Lasso CV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81"/>
        <w:gridCol w:w="1000"/>
        <w:gridCol w:w="995"/>
        <w:gridCol w:w="1090"/>
        <w:gridCol w:w="1140"/>
        <w:gridCol w:w="1160"/>
        <w:gridCol w:w="1593"/>
      </w:tblGrid>
      <w:tr w14:paraId="2301E18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10CE756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ABE138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57F23AC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8272A12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2AB836F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ADD4721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3EA5646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006E2C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4B7788D0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7ECE1455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81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E181A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25.5036</w:t>
            </w:r>
          </w:p>
        </w:tc>
        <w:tc>
          <w:tcPr>
            <w:tcW w:w="10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BDC0A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12.8649</w:t>
            </w:r>
          </w:p>
        </w:tc>
        <w:tc>
          <w:tcPr>
            <w:tcW w:w="99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20D6ED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9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5708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4.5413</w:t>
            </w:r>
          </w:p>
        </w:tc>
        <w:tc>
          <w:tcPr>
            <w:tcW w:w="114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16D7D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4.5408</w:t>
            </w:r>
          </w:p>
        </w:tc>
        <w:tc>
          <w:tcPr>
            <w:tcW w:w="116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9663B5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3.4553</w:t>
            </w:r>
          </w:p>
        </w:tc>
        <w:tc>
          <w:tcPr>
            <w:tcW w:w="159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BB983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4.5420</w:t>
            </w:r>
          </w:p>
        </w:tc>
      </w:tr>
      <w:tr w14:paraId="77E50874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7DC0A71A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81" w:type="dxa"/>
            <w:vAlign w:val="bottom"/>
          </w:tcPr>
          <w:p w14:paraId="10B071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22.6127</w:t>
            </w:r>
          </w:p>
        </w:tc>
        <w:tc>
          <w:tcPr>
            <w:tcW w:w="1000" w:type="dxa"/>
            <w:vAlign w:val="bottom"/>
          </w:tcPr>
          <w:p w14:paraId="0D273C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13.1082</w:t>
            </w:r>
          </w:p>
        </w:tc>
        <w:tc>
          <w:tcPr>
            <w:tcW w:w="995" w:type="dxa"/>
            <w:vAlign w:val="bottom"/>
          </w:tcPr>
          <w:p w14:paraId="39AEC7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0.0313</w:t>
            </w:r>
          </w:p>
        </w:tc>
        <w:tc>
          <w:tcPr>
            <w:tcW w:w="1090" w:type="dxa"/>
            <w:vAlign w:val="bottom"/>
          </w:tcPr>
          <w:p w14:paraId="11D32E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4.3372</w:t>
            </w:r>
          </w:p>
        </w:tc>
        <w:tc>
          <w:tcPr>
            <w:tcW w:w="1140" w:type="dxa"/>
            <w:vAlign w:val="bottom"/>
          </w:tcPr>
          <w:p w14:paraId="2DDC72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4.3366</w:t>
            </w:r>
          </w:p>
        </w:tc>
        <w:tc>
          <w:tcPr>
            <w:tcW w:w="1160" w:type="dxa"/>
            <w:vAlign w:val="bottom"/>
          </w:tcPr>
          <w:p w14:paraId="73ABA8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3.7269</w:t>
            </w:r>
          </w:p>
        </w:tc>
        <w:tc>
          <w:tcPr>
            <w:tcW w:w="1593" w:type="dxa"/>
            <w:vAlign w:val="bottom"/>
          </w:tcPr>
          <w:p w14:paraId="3D00FC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4.3381</w:t>
            </w:r>
          </w:p>
        </w:tc>
      </w:tr>
      <w:tr w14:paraId="38A1AE4E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04C5DED8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81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6B11D9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27.6617</w:t>
            </w:r>
          </w:p>
        </w:tc>
        <w:tc>
          <w:tcPr>
            <w:tcW w:w="10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0315AC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11.8971</w:t>
            </w:r>
          </w:p>
        </w:tc>
        <w:tc>
          <w:tcPr>
            <w:tcW w:w="99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08771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0.0303</w:t>
            </w:r>
          </w:p>
        </w:tc>
        <w:tc>
          <w:tcPr>
            <w:tcW w:w="109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C5F9E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4.3891</w:t>
            </w:r>
          </w:p>
        </w:tc>
        <w:tc>
          <w:tcPr>
            <w:tcW w:w="114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698FBE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4.3885</w:t>
            </w:r>
          </w:p>
        </w:tc>
        <w:tc>
          <w:tcPr>
            <w:tcW w:w="116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1E0D8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3.2686</w:t>
            </w:r>
          </w:p>
        </w:tc>
        <w:tc>
          <w:tcPr>
            <w:tcW w:w="159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66A2F9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4.3900</w:t>
            </w:r>
          </w:p>
        </w:tc>
      </w:tr>
      <w:tr w14:paraId="36098CCA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2D96EBF6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81" w:type="dxa"/>
            <w:tcBorders>
              <w:bottom w:val="single" w:color="7E7E7E" w:themeColor="text1" w:themeTint="80" w:sz="12" w:space="0"/>
            </w:tcBorders>
            <w:vAlign w:val="bottom"/>
          </w:tcPr>
          <w:p w14:paraId="21A61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25.5847</w:t>
            </w:r>
          </w:p>
        </w:tc>
        <w:tc>
          <w:tcPr>
            <w:tcW w:w="1000" w:type="dxa"/>
            <w:tcBorders>
              <w:bottom w:val="single" w:color="7E7E7E" w:themeColor="text1" w:themeTint="80" w:sz="12" w:space="0"/>
            </w:tcBorders>
            <w:vAlign w:val="bottom"/>
          </w:tcPr>
          <w:p w14:paraId="16D3D2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12.8286</w:t>
            </w:r>
          </w:p>
        </w:tc>
        <w:tc>
          <w:tcPr>
            <w:tcW w:w="995" w:type="dxa"/>
            <w:tcBorders>
              <w:bottom w:val="single" w:color="7E7E7E" w:themeColor="text1" w:themeTint="80" w:sz="12" w:space="0"/>
            </w:tcBorders>
            <w:vAlign w:val="bottom"/>
          </w:tcPr>
          <w:p w14:paraId="6CA8E9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90" w:type="dxa"/>
            <w:tcBorders>
              <w:bottom w:val="single" w:color="7E7E7E" w:themeColor="text1" w:themeTint="80" w:sz="12" w:space="0"/>
            </w:tcBorders>
            <w:vAlign w:val="bottom"/>
          </w:tcPr>
          <w:p w14:paraId="02DBAC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4.5235</w:t>
            </w:r>
          </w:p>
        </w:tc>
        <w:tc>
          <w:tcPr>
            <w:tcW w:w="1140" w:type="dxa"/>
            <w:tcBorders>
              <w:bottom w:val="single" w:color="7E7E7E" w:themeColor="text1" w:themeTint="80" w:sz="12" w:space="0"/>
            </w:tcBorders>
            <w:vAlign w:val="bottom"/>
          </w:tcPr>
          <w:p w14:paraId="4E3D66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4.5229</w:t>
            </w:r>
          </w:p>
        </w:tc>
        <w:tc>
          <w:tcPr>
            <w:tcW w:w="1160" w:type="dxa"/>
            <w:tcBorders>
              <w:bottom w:val="single" w:color="7E7E7E" w:themeColor="text1" w:themeTint="80" w:sz="12" w:space="0"/>
            </w:tcBorders>
            <w:vAlign w:val="bottom"/>
          </w:tcPr>
          <w:p w14:paraId="74789B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3.4596</w:t>
            </w:r>
          </w:p>
        </w:tc>
        <w:tc>
          <w:tcPr>
            <w:tcW w:w="1593" w:type="dxa"/>
            <w:tcBorders>
              <w:bottom w:val="single" w:color="7E7E7E" w:themeColor="text1" w:themeTint="80" w:sz="12" w:space="0"/>
            </w:tcBorders>
            <w:vAlign w:val="bottom"/>
          </w:tcPr>
          <w:p w14:paraId="185AF4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4.5242</w:t>
            </w:r>
          </w:p>
        </w:tc>
      </w:tr>
    </w:tbl>
    <w:p w14:paraId="33837D52">
      <w:pPr>
        <w:jc w:val="center"/>
        <w:rPr>
          <w:sz w:val="18"/>
          <w:szCs w:val="18"/>
        </w:rPr>
      </w:pPr>
    </w:p>
    <w:p w14:paraId="27F87C5F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交叉验证的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岭回归模型预测不同性质在训练集、验证集、测试集和全集上的</w:t>
      </w:r>
      <w:r>
        <w:rPr>
          <w:rFonts w:hint="eastAsia"/>
          <w:bCs/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rFonts w:hint="eastAsia"/>
          <w:bCs/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</w:p>
    <w:p w14:paraId="0D53EA84">
      <w:pPr>
        <w:jc w:val="center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Ridge CV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76"/>
        <w:gridCol w:w="1065"/>
        <w:gridCol w:w="1065"/>
        <w:gridCol w:w="1100"/>
        <w:gridCol w:w="1050"/>
        <w:gridCol w:w="1220"/>
        <w:gridCol w:w="1483"/>
      </w:tblGrid>
      <w:tr w14:paraId="35E6FCAA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82A3BAD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221BA1E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994D2FB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E99DB71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79E321C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F7BFD74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1171C86C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91158D3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3FDF827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31AC09CF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4F77BF6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0.9195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CF0B1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0.9907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4F1CA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0.9764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770E4B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033DA4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479CC1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974D3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  <w:tr w14:paraId="402F0BEB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58FBF79C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76" w:type="dxa"/>
            <w:vAlign w:val="bottom"/>
          </w:tcPr>
          <w:p w14:paraId="0388FB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0.6969</w:t>
            </w:r>
          </w:p>
        </w:tc>
        <w:tc>
          <w:tcPr>
            <w:tcW w:w="1065" w:type="dxa"/>
            <w:vAlign w:val="bottom"/>
          </w:tcPr>
          <w:p w14:paraId="1A878C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0.9444</w:t>
            </w:r>
          </w:p>
        </w:tc>
        <w:tc>
          <w:tcPr>
            <w:tcW w:w="1065" w:type="dxa"/>
            <w:vAlign w:val="bottom"/>
          </w:tcPr>
          <w:p w14:paraId="5A029F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0.8129</w:t>
            </w:r>
          </w:p>
        </w:tc>
        <w:tc>
          <w:tcPr>
            <w:tcW w:w="1100" w:type="dxa"/>
            <w:vAlign w:val="top"/>
          </w:tcPr>
          <w:p w14:paraId="0FE34880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vAlign w:val="top"/>
          </w:tcPr>
          <w:p w14:paraId="0BF72E01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vAlign w:val="top"/>
          </w:tcPr>
          <w:p w14:paraId="4B915523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vAlign w:val="top"/>
          </w:tcPr>
          <w:p w14:paraId="36E68553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  <w:tr w14:paraId="178CC6BB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0B87035D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76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05F959A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0.6533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74C38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0.9810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2045EF5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0.8769</w:t>
            </w:r>
          </w:p>
        </w:tc>
        <w:tc>
          <w:tcPr>
            <w:tcW w:w="11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1E77BE86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7B934953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146C8C7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628647BF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  <w:tr w14:paraId="4822B7E3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02C7D913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76" w:type="dxa"/>
            <w:tcBorders>
              <w:bottom w:val="single" w:color="7E7E7E" w:themeColor="text1" w:themeTint="80" w:sz="12" w:space="0"/>
            </w:tcBorders>
            <w:vAlign w:val="bottom"/>
          </w:tcPr>
          <w:p w14:paraId="52D558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0.8884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3FA984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0.9883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3A8E20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0.9642</w:t>
            </w:r>
          </w:p>
        </w:tc>
        <w:tc>
          <w:tcPr>
            <w:tcW w:w="1100" w:type="dxa"/>
            <w:tcBorders>
              <w:bottom w:val="single" w:color="7E7E7E" w:themeColor="text1" w:themeTint="80" w:sz="12" w:space="0"/>
            </w:tcBorders>
            <w:vAlign w:val="top"/>
          </w:tcPr>
          <w:p w14:paraId="7A82F90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bottom w:val="single" w:color="7E7E7E" w:themeColor="text1" w:themeTint="80" w:sz="12" w:space="0"/>
            </w:tcBorders>
            <w:vAlign w:val="top"/>
          </w:tcPr>
          <w:p w14:paraId="573316A2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bottom w:val="single" w:color="7E7E7E" w:themeColor="text1" w:themeTint="80" w:sz="12" w:space="0"/>
            </w:tcBorders>
            <w:vAlign w:val="top"/>
          </w:tcPr>
          <w:p w14:paraId="006404C7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bottom w:val="single" w:color="7E7E7E" w:themeColor="text1" w:themeTint="80" w:sz="12" w:space="0"/>
            </w:tcBorders>
            <w:vAlign w:val="top"/>
          </w:tcPr>
          <w:p w14:paraId="30379ACE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</w:tbl>
    <w:p w14:paraId="0EC3967A">
      <w:pPr>
        <w:jc w:val="center"/>
        <w:rPr>
          <w:sz w:val="18"/>
          <w:szCs w:val="18"/>
        </w:rPr>
      </w:pPr>
    </w:p>
    <w:p w14:paraId="0F8ABE87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交叉验证的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岭回归模型预测不同性质在训练集、验证集、测试集和全集上的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</w:p>
    <w:p w14:paraId="63B7CC74">
      <w:pPr>
        <w:jc w:val="center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Ridge CV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76"/>
        <w:gridCol w:w="1065"/>
        <w:gridCol w:w="1065"/>
        <w:gridCol w:w="1100"/>
        <w:gridCol w:w="1050"/>
        <w:gridCol w:w="1220"/>
        <w:gridCol w:w="1483"/>
      </w:tblGrid>
      <w:tr w14:paraId="7C7C68F8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DF0F698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78A74DB7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E8AD6F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2DE4C4E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62064F1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1C51FFC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AE2BEFF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439544E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69D9469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3F334A8D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EFCDF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16.1079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BFF43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6.6727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B8317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0.0233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5671C36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0.0193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8810C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0.0192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0C70331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0.0192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64E0142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0.0195</w:t>
            </w:r>
          </w:p>
        </w:tc>
      </w:tr>
      <w:tr w14:paraId="5B106B49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1010" w:type="dxa"/>
          </w:tcPr>
          <w:p w14:paraId="2B6F78CF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76" w:type="dxa"/>
            <w:vAlign w:val="bottom"/>
          </w:tcPr>
          <w:p w14:paraId="0FE18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29.6335</w:t>
            </w:r>
          </w:p>
        </w:tc>
        <w:tc>
          <w:tcPr>
            <w:tcW w:w="1065" w:type="dxa"/>
            <w:vAlign w:val="bottom"/>
          </w:tcPr>
          <w:p w14:paraId="2E6978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10.6977</w:t>
            </w:r>
          </w:p>
        </w:tc>
        <w:tc>
          <w:tcPr>
            <w:tcW w:w="1065" w:type="dxa"/>
            <w:vAlign w:val="bottom"/>
          </w:tcPr>
          <w:p w14:paraId="09B2239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0.0265</w:t>
            </w:r>
          </w:p>
        </w:tc>
        <w:tc>
          <w:tcPr>
            <w:tcW w:w="1100" w:type="dxa"/>
            <w:vAlign w:val="bottom"/>
          </w:tcPr>
          <w:p w14:paraId="2B24A6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0.1644</w:t>
            </w:r>
          </w:p>
        </w:tc>
        <w:tc>
          <w:tcPr>
            <w:tcW w:w="1050" w:type="dxa"/>
            <w:vAlign w:val="bottom"/>
          </w:tcPr>
          <w:p w14:paraId="3AD968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0.1643</w:t>
            </w:r>
          </w:p>
        </w:tc>
        <w:tc>
          <w:tcPr>
            <w:tcW w:w="1220" w:type="dxa"/>
            <w:vAlign w:val="bottom"/>
          </w:tcPr>
          <w:p w14:paraId="5F6924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0.1643</w:t>
            </w:r>
          </w:p>
        </w:tc>
        <w:tc>
          <w:tcPr>
            <w:tcW w:w="1483" w:type="dxa"/>
            <w:vAlign w:val="bottom"/>
          </w:tcPr>
          <w:p w14:paraId="3AFF89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0.1641</w:t>
            </w:r>
          </w:p>
        </w:tc>
      </w:tr>
      <w:tr w14:paraId="6CFFF7B8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7281F40B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76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7C960C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37.1347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76BFC9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10.6289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8C63D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0.0277</w:t>
            </w:r>
          </w:p>
        </w:tc>
        <w:tc>
          <w:tcPr>
            <w:tcW w:w="11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6FC7CF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0.1380</w:t>
            </w:r>
          </w:p>
        </w:tc>
        <w:tc>
          <w:tcPr>
            <w:tcW w:w="105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A7622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0.1375</w:t>
            </w:r>
          </w:p>
        </w:tc>
        <w:tc>
          <w:tcPr>
            <w:tcW w:w="122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1D30B0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0.1375</w:t>
            </w:r>
          </w:p>
        </w:tc>
        <w:tc>
          <w:tcPr>
            <w:tcW w:w="148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123CDEA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0.1390</w:t>
            </w:r>
          </w:p>
        </w:tc>
      </w:tr>
      <w:tr w14:paraId="3B30C03A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401945BA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76" w:type="dxa"/>
            <w:tcBorders>
              <w:bottom w:val="single" w:color="7E7E7E" w:themeColor="text1" w:themeTint="80" w:sz="12" w:space="0"/>
            </w:tcBorders>
            <w:vAlign w:val="bottom"/>
          </w:tcPr>
          <w:p w14:paraId="58CE7D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18.0385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6CA2C9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7.0719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4D39A1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0.0247</w:t>
            </w:r>
          </w:p>
        </w:tc>
        <w:tc>
          <w:tcPr>
            <w:tcW w:w="1100" w:type="dxa"/>
            <w:tcBorders>
              <w:bottom w:val="single" w:color="7E7E7E" w:themeColor="text1" w:themeTint="80" w:sz="12" w:space="0"/>
            </w:tcBorders>
            <w:vAlign w:val="bottom"/>
          </w:tcPr>
          <w:p w14:paraId="7E7778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0.0325</w:t>
            </w:r>
          </w:p>
        </w:tc>
        <w:tc>
          <w:tcPr>
            <w:tcW w:w="1050" w:type="dxa"/>
            <w:tcBorders>
              <w:bottom w:val="single" w:color="7E7E7E" w:themeColor="text1" w:themeTint="80" w:sz="12" w:space="0"/>
            </w:tcBorders>
            <w:vAlign w:val="bottom"/>
          </w:tcPr>
          <w:p w14:paraId="139FF4A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0.0324</w:t>
            </w:r>
          </w:p>
        </w:tc>
        <w:tc>
          <w:tcPr>
            <w:tcW w:w="1220" w:type="dxa"/>
            <w:tcBorders>
              <w:bottom w:val="single" w:color="7E7E7E" w:themeColor="text1" w:themeTint="80" w:sz="12" w:space="0"/>
            </w:tcBorders>
            <w:vAlign w:val="bottom"/>
          </w:tcPr>
          <w:p w14:paraId="395EC7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0.0324</w:t>
            </w:r>
          </w:p>
        </w:tc>
        <w:tc>
          <w:tcPr>
            <w:tcW w:w="1483" w:type="dxa"/>
            <w:tcBorders>
              <w:bottom w:val="single" w:color="7E7E7E" w:themeColor="text1" w:themeTint="80" w:sz="12" w:space="0"/>
            </w:tcBorders>
            <w:vAlign w:val="bottom"/>
          </w:tcPr>
          <w:p w14:paraId="1ECABEE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0.0327</w:t>
            </w:r>
          </w:p>
        </w:tc>
      </w:tr>
    </w:tbl>
    <w:p w14:paraId="695C3892">
      <w:pPr>
        <w:jc w:val="center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 w14:paraId="721DED66">
      <w:pPr>
        <w:jc w:val="center"/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</w:p>
    <w:p w14:paraId="18FF537D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极限梯度提升回归预测不同性质在训练集、验证集、测试集和全集上的</w:t>
      </w:r>
      <w:r>
        <w:rPr>
          <w:rFonts w:hint="eastAsia"/>
          <w:bCs/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rFonts w:hint="eastAsia"/>
          <w:bCs/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</w:p>
    <w:p w14:paraId="4593BC1B">
      <w:pPr>
        <w:jc w:val="center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i/>
          <w:i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R</w:t>
      </w:r>
      <w:r>
        <w:rPr>
          <w:i/>
          <w:iCs/>
          <w:color w:val="000000" w:themeColor="text1"/>
          <w:sz w:val="18"/>
          <w:szCs w:val="18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XGBoost Regressor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76"/>
        <w:gridCol w:w="1065"/>
        <w:gridCol w:w="1065"/>
        <w:gridCol w:w="1100"/>
        <w:gridCol w:w="1050"/>
        <w:gridCol w:w="1220"/>
        <w:gridCol w:w="1483"/>
      </w:tblGrid>
      <w:tr w14:paraId="4940B0CB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53E00EB6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2B09EC6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C44138A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0846DE8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65E14BD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45A042C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05ADEF0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86F2AE2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2A16AD49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5CD0E7C7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87533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0.9985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A45BD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0.9994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6AD4C5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0.9296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709E4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094DF7F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58C4E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A28E6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  <w:tr w14:paraId="78D54CF5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0A8D8872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76" w:type="dxa"/>
            <w:vAlign w:val="bottom"/>
          </w:tcPr>
          <w:p w14:paraId="661AB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0.8969</w:t>
            </w:r>
          </w:p>
        </w:tc>
        <w:tc>
          <w:tcPr>
            <w:tcW w:w="1065" w:type="dxa"/>
            <w:vAlign w:val="bottom"/>
          </w:tcPr>
          <w:p w14:paraId="16B633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0.9633</w:t>
            </w:r>
          </w:p>
        </w:tc>
        <w:tc>
          <w:tcPr>
            <w:tcW w:w="1065" w:type="dxa"/>
            <w:vAlign w:val="bottom"/>
          </w:tcPr>
          <w:p w14:paraId="0BA8FD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0.8349</w:t>
            </w:r>
          </w:p>
        </w:tc>
        <w:tc>
          <w:tcPr>
            <w:tcW w:w="1100" w:type="dxa"/>
            <w:vAlign w:val="top"/>
          </w:tcPr>
          <w:p w14:paraId="782A242B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50" w:type="dxa"/>
            <w:vAlign w:val="top"/>
          </w:tcPr>
          <w:p w14:paraId="4D9BBFC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220" w:type="dxa"/>
            <w:vAlign w:val="top"/>
          </w:tcPr>
          <w:p w14:paraId="7AEDD53B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483" w:type="dxa"/>
            <w:vAlign w:val="top"/>
          </w:tcPr>
          <w:p w14:paraId="3462569C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</w:t>
            </w:r>
            <w:r>
              <w:rPr>
                <w:rFonts w:hint="eastAsia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</w:tr>
      <w:tr w14:paraId="6488464C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66EBCB1B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76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0F04A1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0.9043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05BDC3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0.9815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B41B7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0.9359</w:t>
            </w:r>
          </w:p>
        </w:tc>
        <w:tc>
          <w:tcPr>
            <w:tcW w:w="11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3482853A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59F3E80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73922A49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top"/>
          </w:tcPr>
          <w:p w14:paraId="5D81A94E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  <w:tr w14:paraId="4609EBE9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5E9DA4F0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76" w:type="dxa"/>
            <w:tcBorders>
              <w:bottom w:val="single" w:color="7E7E7E" w:themeColor="text1" w:themeTint="80" w:sz="12" w:space="0"/>
            </w:tcBorders>
            <w:vAlign w:val="bottom"/>
          </w:tcPr>
          <w:p w14:paraId="218ECA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0.9866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64A742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0.9970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63825A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0.9262</w:t>
            </w:r>
          </w:p>
        </w:tc>
        <w:tc>
          <w:tcPr>
            <w:tcW w:w="1100" w:type="dxa"/>
            <w:tcBorders>
              <w:bottom w:val="single" w:color="7E7E7E" w:themeColor="text1" w:themeTint="80" w:sz="12" w:space="0"/>
            </w:tcBorders>
            <w:vAlign w:val="top"/>
          </w:tcPr>
          <w:p w14:paraId="588DE63E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050" w:type="dxa"/>
            <w:tcBorders>
              <w:bottom w:val="single" w:color="7E7E7E" w:themeColor="text1" w:themeTint="80" w:sz="12" w:space="0"/>
            </w:tcBorders>
            <w:vAlign w:val="top"/>
          </w:tcPr>
          <w:p w14:paraId="78CDB81A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220" w:type="dxa"/>
            <w:tcBorders>
              <w:bottom w:val="single" w:color="7E7E7E" w:themeColor="text1" w:themeTint="80" w:sz="12" w:space="0"/>
            </w:tcBorders>
            <w:vAlign w:val="top"/>
          </w:tcPr>
          <w:p w14:paraId="57331AF3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  <w:tc>
          <w:tcPr>
            <w:tcW w:w="1483" w:type="dxa"/>
            <w:tcBorders>
              <w:bottom w:val="single" w:color="7E7E7E" w:themeColor="text1" w:themeTint="80" w:sz="12" w:space="0"/>
            </w:tcBorders>
            <w:vAlign w:val="top"/>
          </w:tcPr>
          <w:p w14:paraId="17E5D973">
            <w:pPr>
              <w:jc w:val="center"/>
              <w:rPr>
                <w:rFonts w:hint="default" w:ascii="Times New Roman" w:hAnsi="Times New Roman" w:eastAsia="等线" w:cs="Times New Roma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0.9999</w:t>
            </w:r>
          </w:p>
        </w:tc>
      </w:tr>
    </w:tbl>
    <w:p w14:paraId="415DBE2E">
      <w:pPr>
        <w:jc w:val="center"/>
        <w:rPr>
          <w:sz w:val="18"/>
          <w:szCs w:val="18"/>
        </w:rPr>
      </w:pPr>
    </w:p>
    <w:p w14:paraId="64C9EEA7">
      <w:pPr>
        <w:jc w:val="center"/>
        <w:rPr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附表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bCs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极限梯度提升回归预测不同性质在训练集、验证集、测试集和全集上的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</w:p>
    <w:p w14:paraId="0765E46B">
      <w:pPr>
        <w:jc w:val="center"/>
        <w:rPr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Table </w:t>
      </w:r>
      <w:r>
        <w:rPr>
          <w:rFonts w:hint="eastAsia"/>
          <w:b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9 </w:t>
      </w:r>
      <w:r>
        <w:rPr>
          <w:rFonts w:hint="eastAsia"/>
          <w:b w:val="0"/>
          <w:bCs/>
          <w:i/>
          <w:iCs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 xml:space="preserve">MAEs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 xml:space="preserve">of different properties predicete by </w:t>
      </w:r>
      <w:r>
        <w:rPr>
          <w:rFonts w:hint="eastAsia"/>
          <w:color w:val="000000" w:themeColor="text1"/>
          <w:sz w:val="18"/>
          <w:szCs w:val="18"/>
          <w:lang w:val="en-US" w:eastAsia="zh-CN"/>
          <w14:textFill>
            <w14:solidFill>
              <w14:schemeClr w14:val="tx1"/>
            </w14:solidFill>
          </w14:textFill>
        </w:rPr>
        <w:t>XGBoost Regressor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models on the train, validation, test, and total set</w:t>
      </w:r>
    </w:p>
    <w:tbl>
      <w:tblPr>
        <w:tblStyle w:val="23"/>
        <w:tblW w:w="0" w:type="auto"/>
        <w:jc w:val="center"/>
        <w:tblBorders>
          <w:top w:val="single" w:color="7E7E7E" w:themeColor="text1" w:themeTint="80" w:sz="4" w:space="0"/>
          <w:left w:val="none" w:color="auto" w:sz="0" w:space="0"/>
          <w:bottom w:val="single" w:color="7E7E7E" w:themeColor="text1" w:themeTint="80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0"/>
        <w:gridCol w:w="1076"/>
        <w:gridCol w:w="1065"/>
        <w:gridCol w:w="1065"/>
        <w:gridCol w:w="1100"/>
        <w:gridCol w:w="1050"/>
        <w:gridCol w:w="1220"/>
        <w:gridCol w:w="1483"/>
      </w:tblGrid>
      <w:tr w14:paraId="6DC94733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B9E01A6">
            <w:pPr>
              <w:jc w:val="center"/>
              <w:rPr>
                <w:b w:val="0"/>
                <w:bCs w:val="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7E8AC20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m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2A77880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T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b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4ABEDCFE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ρ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689AF226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  <w:r>
              <w:rPr>
                <w:b w:val="0"/>
                <w:bCs w:val="0"/>
                <w:i/>
                <w:iCs/>
                <w:sz w:val="18"/>
                <w:szCs w:val="18"/>
                <w:vertAlign w:val="subscript"/>
              </w:rPr>
              <w:t>0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3CB0A509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U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0CE88BDB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H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12" w:space="0"/>
            </w:tcBorders>
          </w:tcPr>
          <w:p w14:paraId="24E26BE4">
            <w:pPr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i/>
                <w:iCs/>
                <w:sz w:val="18"/>
                <w:szCs w:val="18"/>
              </w:rPr>
              <w:t>G</w:t>
            </w:r>
          </w:p>
        </w:tc>
      </w:tr>
      <w:tr w14:paraId="0ADA0B8D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</w:tcPr>
          <w:p w14:paraId="52F30C80">
            <w:pPr>
              <w:jc w:val="left"/>
              <w:rPr>
                <w:b w:val="0"/>
                <w:bCs w:val="0"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Train</w:t>
            </w:r>
          </w:p>
        </w:tc>
        <w:tc>
          <w:tcPr>
            <w:tcW w:w="1076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677A6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2.4068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29DEDD6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1.2301</w:t>
            </w:r>
          </w:p>
        </w:tc>
        <w:tc>
          <w:tcPr>
            <w:tcW w:w="1065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3828C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0.0244</w:t>
            </w:r>
          </w:p>
        </w:tc>
        <w:tc>
          <w:tcPr>
            <w:tcW w:w="110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486FBD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0.0601</w:t>
            </w:r>
          </w:p>
        </w:tc>
        <w:tc>
          <w:tcPr>
            <w:tcW w:w="105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374688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0.0601</w:t>
            </w:r>
          </w:p>
        </w:tc>
        <w:tc>
          <w:tcPr>
            <w:tcW w:w="1220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1B3831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0.0591</w:t>
            </w:r>
          </w:p>
        </w:tc>
        <w:tc>
          <w:tcPr>
            <w:tcW w:w="1483" w:type="dxa"/>
            <w:tcBorders>
              <w:top w:val="single" w:color="7E7E7E" w:themeColor="text1" w:themeTint="80" w:sz="12" w:space="0"/>
              <w:bottom w:val="single" w:color="7E7E7E" w:themeColor="text1" w:themeTint="80" w:sz="4" w:space="0"/>
            </w:tcBorders>
            <w:vAlign w:val="bottom"/>
          </w:tcPr>
          <w:p w14:paraId="77C80F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0.0607</w:t>
            </w:r>
          </w:p>
        </w:tc>
      </w:tr>
      <w:tr w14:paraId="2B76DD60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</w:tcPr>
          <w:p w14:paraId="7CDAB9E3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sz w:val="18"/>
                <w:szCs w:val="18"/>
              </w:rPr>
              <w:t>Validation</w:t>
            </w:r>
          </w:p>
        </w:tc>
        <w:tc>
          <w:tcPr>
            <w:tcW w:w="1076" w:type="dxa"/>
            <w:vAlign w:val="bottom"/>
          </w:tcPr>
          <w:p w14:paraId="233AE6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15.9282</w:t>
            </w:r>
          </w:p>
        </w:tc>
        <w:tc>
          <w:tcPr>
            <w:tcW w:w="1065" w:type="dxa"/>
            <w:vAlign w:val="bottom"/>
          </w:tcPr>
          <w:p w14:paraId="056B70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7.8294</w:t>
            </w:r>
          </w:p>
        </w:tc>
        <w:tc>
          <w:tcPr>
            <w:tcW w:w="1065" w:type="dxa"/>
            <w:vAlign w:val="bottom"/>
          </w:tcPr>
          <w:p w14:paraId="7BE777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0.0278</w:t>
            </w:r>
          </w:p>
        </w:tc>
        <w:tc>
          <w:tcPr>
            <w:tcW w:w="1100" w:type="dxa"/>
            <w:vAlign w:val="bottom"/>
          </w:tcPr>
          <w:p w14:paraId="5823EB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1.1896</w:t>
            </w:r>
          </w:p>
        </w:tc>
        <w:tc>
          <w:tcPr>
            <w:tcW w:w="1050" w:type="dxa"/>
            <w:vAlign w:val="bottom"/>
          </w:tcPr>
          <w:p w14:paraId="4D82880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1.1487</w:t>
            </w:r>
          </w:p>
        </w:tc>
        <w:tc>
          <w:tcPr>
            <w:tcW w:w="1220" w:type="dxa"/>
            <w:vAlign w:val="bottom"/>
          </w:tcPr>
          <w:p w14:paraId="0EE847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1.1441</w:t>
            </w:r>
          </w:p>
        </w:tc>
        <w:tc>
          <w:tcPr>
            <w:tcW w:w="1483" w:type="dxa"/>
            <w:vAlign w:val="bottom"/>
          </w:tcPr>
          <w:p w14:paraId="51A0AE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1.1976</w:t>
            </w:r>
          </w:p>
        </w:tc>
      </w:tr>
      <w:tr w14:paraId="1538786F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</w:tcPr>
          <w:p w14:paraId="18067EA8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Test</w:t>
            </w:r>
          </w:p>
        </w:tc>
        <w:tc>
          <w:tcPr>
            <w:tcW w:w="1076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386A8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19.9442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E24E4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9.0034</w:t>
            </w:r>
          </w:p>
        </w:tc>
        <w:tc>
          <w:tcPr>
            <w:tcW w:w="1065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7EAF1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0.0258</w:t>
            </w:r>
          </w:p>
        </w:tc>
        <w:tc>
          <w:tcPr>
            <w:tcW w:w="110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3430B3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0.4964</w:t>
            </w:r>
          </w:p>
        </w:tc>
        <w:tc>
          <w:tcPr>
            <w:tcW w:w="105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42E272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0.5540</w:t>
            </w:r>
          </w:p>
        </w:tc>
        <w:tc>
          <w:tcPr>
            <w:tcW w:w="1220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6162E9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0.5540</w:t>
            </w:r>
          </w:p>
        </w:tc>
        <w:tc>
          <w:tcPr>
            <w:tcW w:w="1483" w:type="dxa"/>
            <w:tcBorders>
              <w:top w:val="single" w:color="7E7E7E" w:themeColor="text1" w:themeTint="80" w:sz="4" w:space="0"/>
              <w:bottom w:val="single" w:color="7E7E7E" w:themeColor="text1" w:themeTint="80" w:sz="4" w:space="0"/>
            </w:tcBorders>
            <w:vAlign w:val="bottom"/>
          </w:tcPr>
          <w:p w14:paraId="540D86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0.5130</w:t>
            </w:r>
          </w:p>
        </w:tc>
      </w:tr>
      <w:tr w14:paraId="4B4B8693">
        <w:tblPrEx>
          <w:tblBorders>
            <w:top w:val="single" w:color="7E7E7E" w:themeColor="text1" w:themeTint="80" w:sz="4" w:space="0"/>
            <w:left w:val="none" w:color="auto" w:sz="0" w:space="0"/>
            <w:bottom w:val="single" w:color="7E7E7E" w:themeColor="text1" w:themeTint="80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10" w:type="dxa"/>
            <w:tcBorders>
              <w:bottom w:val="single" w:color="7E7E7E" w:themeColor="text1" w:themeTint="80" w:sz="12" w:space="0"/>
            </w:tcBorders>
          </w:tcPr>
          <w:p w14:paraId="620FA6AA">
            <w:pPr>
              <w:jc w:val="left"/>
              <w:rPr>
                <w:b w:val="0"/>
                <w:bCs w:val="0"/>
                <w:iCs/>
                <w:sz w:val="18"/>
                <w:szCs w:val="18"/>
              </w:rPr>
            </w:pPr>
            <w:r>
              <w:rPr>
                <w:rFonts w:hint="eastAsia"/>
                <w:b w:val="0"/>
                <w:bCs w:val="0"/>
                <w:iCs/>
                <w:sz w:val="18"/>
                <w:szCs w:val="18"/>
              </w:rPr>
              <w:t>Total</w:t>
            </w:r>
          </w:p>
        </w:tc>
        <w:tc>
          <w:tcPr>
            <w:tcW w:w="1076" w:type="dxa"/>
            <w:tcBorders>
              <w:bottom w:val="single" w:color="7E7E7E" w:themeColor="text1" w:themeTint="80" w:sz="12" w:space="0"/>
            </w:tcBorders>
            <w:vAlign w:val="bottom"/>
          </w:tcPr>
          <w:p w14:paraId="2354D9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4.1918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313C3D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1.9490</w:t>
            </w:r>
          </w:p>
        </w:tc>
        <w:tc>
          <w:tcPr>
            <w:tcW w:w="1065" w:type="dxa"/>
            <w:tcBorders>
              <w:bottom w:val="single" w:color="7E7E7E" w:themeColor="text1" w:themeTint="80" w:sz="12" w:space="0"/>
            </w:tcBorders>
            <w:vAlign w:val="bottom"/>
          </w:tcPr>
          <w:p w14:paraId="474294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0.0246</w:t>
            </w:r>
          </w:p>
        </w:tc>
        <w:tc>
          <w:tcPr>
            <w:tcW w:w="1100" w:type="dxa"/>
            <w:tcBorders>
              <w:bottom w:val="single" w:color="7E7E7E" w:themeColor="text1" w:themeTint="80" w:sz="12" w:space="0"/>
            </w:tcBorders>
            <w:vAlign w:val="bottom"/>
          </w:tcPr>
          <w:p w14:paraId="2BBE75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0.1385</w:t>
            </w:r>
          </w:p>
        </w:tc>
        <w:tc>
          <w:tcPr>
            <w:tcW w:w="1050" w:type="dxa"/>
            <w:tcBorders>
              <w:bottom w:val="single" w:color="7E7E7E" w:themeColor="text1" w:themeTint="80" w:sz="12" w:space="0"/>
            </w:tcBorders>
            <w:vAlign w:val="bottom"/>
          </w:tcPr>
          <w:p w14:paraId="684F41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0.1393</w:t>
            </w:r>
          </w:p>
        </w:tc>
        <w:tc>
          <w:tcPr>
            <w:tcW w:w="1220" w:type="dxa"/>
            <w:tcBorders>
              <w:bottom w:val="single" w:color="7E7E7E" w:themeColor="text1" w:themeTint="80" w:sz="12" w:space="0"/>
            </w:tcBorders>
            <w:vAlign w:val="bottom"/>
          </w:tcPr>
          <w:p w14:paraId="428F5E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0.1381</w:t>
            </w:r>
          </w:p>
        </w:tc>
        <w:tc>
          <w:tcPr>
            <w:tcW w:w="1483" w:type="dxa"/>
            <w:tcBorders>
              <w:bottom w:val="single" w:color="7E7E7E" w:themeColor="text1" w:themeTint="80" w:sz="12" w:space="0"/>
            </w:tcBorders>
            <w:vAlign w:val="bottom"/>
          </w:tcPr>
          <w:p w14:paraId="7736D4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0.1402</w:t>
            </w:r>
          </w:p>
        </w:tc>
      </w:tr>
    </w:tbl>
    <w:p w14:paraId="24200465">
      <w:pP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sectPr>
          <w:pgSz w:w="11906" w:h="16838"/>
          <w:pgMar w:top="1588" w:right="1021" w:bottom="1021" w:left="1021" w:header="1134" w:footer="567" w:gutter="0"/>
          <w:cols w:space="425" w:num="1"/>
          <w:docGrid w:type="lines" w:linePitch="328" w:charSpace="6144"/>
        </w:sectPr>
      </w:pPr>
    </w:p>
    <w:p w14:paraId="72463EC3">
      <w:pPr>
        <w:rPr>
          <w:rFonts w:hint="eastAsia" w:eastAsia="黑体"/>
          <w:b/>
          <w:sz w:val="24"/>
          <w:szCs w:val="24"/>
        </w:rPr>
      </w:pPr>
      <w:r>
        <w:rPr>
          <w:rFonts w:hint="eastAsia" w:eastAsia="黑体"/>
          <w:b/>
          <w:sz w:val="24"/>
          <w:szCs w:val="24"/>
        </w:rPr>
        <w:t>参考文献</w:t>
      </w:r>
    </w:p>
    <w:p w14:paraId="54D818F9">
      <w:pPr>
        <w:pStyle w:val="24"/>
        <w:ind w:left="720" w:hanging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 w:eastAsia="黑体"/>
          <w:b/>
          <w:sz w:val="18"/>
          <w:szCs w:val="18"/>
        </w:rPr>
        <w:fldChar w:fldCharType="begin"/>
      </w:r>
      <w:r>
        <w:rPr>
          <w:rFonts w:ascii="Times New Roman" w:hAnsi="Times New Roman" w:eastAsia="黑体"/>
          <w:b/>
          <w:sz w:val="18"/>
          <w:szCs w:val="18"/>
        </w:rPr>
        <w:instrText xml:space="preserve"> ADDIN EN.REFLIST </w:instrText>
      </w:r>
      <w:r>
        <w:rPr>
          <w:rFonts w:ascii="Times New Roman" w:hAnsi="Times New Roman" w:eastAsia="黑体"/>
          <w:b/>
          <w:sz w:val="18"/>
          <w:szCs w:val="18"/>
        </w:rPr>
        <w:fldChar w:fldCharType="separate"/>
      </w:r>
      <w:r>
        <w:rPr>
          <w:rFonts w:ascii="Times New Roman" w:hAnsi="Times New Roman"/>
          <w:sz w:val="18"/>
          <w:szCs w:val="18"/>
        </w:rPr>
        <w:t>[1]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>Antoine Osmont L C, Iskender Go¨kalp. Physicochemical Properties and Thermochemistry of Propellanes [J]. Energy &amp; Fuel, 2008, 22.</w:t>
      </w:r>
    </w:p>
    <w:p w14:paraId="1AB28780">
      <w:pPr>
        <w:pStyle w:val="24"/>
        <w:ind w:left="720" w:hanging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[2]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>Hukkerikar A S, Sarup B, Ten Kate A, Abildskov J, Sin G, Gani R. Group-contribution+ (GC+) based estimation of properties of pure components: Improved property estimation and uncertainty analysis [J]. Fluid Phase Equilibria, 2012, 321: 25-43.</w:t>
      </w:r>
    </w:p>
    <w:p w14:paraId="04CE0D84">
      <w:pPr>
        <w:pStyle w:val="24"/>
        <w:ind w:left="720" w:hanging="72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[3]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>Savos’kin M V, Kapkan L M, Vaiman G E, Vdovichenko A N, Gorkunenko O A, Yaroshenko A P, Popov A F, Mashchenko A N, Tkachev V A, Voloshin M L, Potapov Y F. New approaches to the development of high-performance hydrocarbon propellants [J]. Russian Journal of Applied Chemistry, 2007, 80(1): 31-37.</w:t>
      </w:r>
    </w:p>
    <w:p w14:paraId="0899EFFE">
      <w:pPr>
        <w:rPr>
          <w:rFonts w:eastAsia="黑体"/>
          <w:b/>
          <w:sz w:val="24"/>
          <w:szCs w:val="24"/>
        </w:rPr>
      </w:pPr>
      <w:r>
        <w:rPr>
          <w:rFonts w:eastAsia="黑体"/>
          <w:b/>
          <w:sz w:val="18"/>
          <w:szCs w:val="18"/>
        </w:rPr>
        <w:fldChar w:fldCharType="end"/>
      </w:r>
    </w:p>
    <w:sectPr>
      <w:pgSz w:w="11906" w:h="16838"/>
      <w:pgMar w:top="1588" w:right="1021" w:bottom="1021" w:left="1021" w:header="1134" w:footer="567" w:gutter="0"/>
      <w:cols w:space="425" w:num="1"/>
      <w:docGrid w:type="lines" w:linePitch="328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YG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EE59E2"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9881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660"/>
      <w:gridCol w:w="1980"/>
      <w:gridCol w:w="1241"/>
    </w:tblGrid>
    <w:tr w14:paraId="205943A0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jc w:val="center"/>
      </w:trPr>
      <w:tc>
        <w:tcPr>
          <w:tcW w:w="6660" w:type="dxa"/>
          <w:vAlign w:val="center"/>
        </w:tcPr>
        <w:p w14:paraId="5BA271E9">
          <w:pPr>
            <w:pStyle w:val="9"/>
            <w:pBdr>
              <w:bottom w:val="none" w:color="auto" w:sz="0" w:space="0"/>
            </w:pBdr>
            <w:jc w:val="both"/>
          </w:pPr>
          <w:r>
            <w:rPr>
              <w:rFonts w:hint="eastAsia"/>
            </w:rPr>
            <w:t>含能材料</w:t>
          </w:r>
        </w:p>
      </w:tc>
      <w:tc>
        <w:tcPr>
          <w:tcW w:w="1980" w:type="dxa"/>
          <w:vAlign w:val="center"/>
        </w:tcPr>
        <w:p w14:paraId="1BAB6DE2">
          <w:pPr>
            <w:pStyle w:val="9"/>
            <w:pBdr>
              <w:bottom w:val="none" w:color="auto" w:sz="0" w:space="0"/>
            </w:pBdr>
            <w:jc w:val="both"/>
          </w:pPr>
        </w:p>
      </w:tc>
      <w:tc>
        <w:tcPr>
          <w:tcW w:w="1241" w:type="dxa"/>
          <w:vAlign w:val="center"/>
        </w:tcPr>
        <w:p w14:paraId="7754E15B">
          <w:pPr>
            <w:pStyle w:val="9"/>
            <w:pBdr>
              <w:bottom w:val="none" w:color="auto" w:sz="0" w:space="0"/>
            </w:pBdr>
            <w:jc w:val="right"/>
            <w:rPr>
              <w:b/>
            </w:rPr>
          </w:pPr>
          <w:r>
            <w:rPr>
              <w:rStyle w:val="14"/>
            </w:rPr>
            <w:fldChar w:fldCharType="begin"/>
          </w:r>
          <w:r>
            <w:rPr>
              <w:rStyle w:val="14"/>
            </w:rPr>
            <w:instrText xml:space="preserve"> PAGE </w:instrText>
          </w:r>
          <w:r>
            <w:rPr>
              <w:rStyle w:val="14"/>
            </w:rPr>
            <w:fldChar w:fldCharType="separate"/>
          </w:r>
          <w:r>
            <w:rPr>
              <w:rStyle w:val="14"/>
            </w:rPr>
            <w:t>5</w:t>
          </w:r>
          <w:r>
            <w:rPr>
              <w:rStyle w:val="14"/>
            </w:rPr>
            <w:fldChar w:fldCharType="end"/>
          </w:r>
        </w:p>
      </w:tc>
    </w:tr>
  </w:tbl>
  <w:p w14:paraId="0B88B4E6">
    <w:pPr>
      <w:pStyle w:val="9"/>
      <w:pBdr>
        <w:bottom w:val="single" w:color="auto" w:sz="8" w:space="0"/>
      </w:pBdr>
      <w:rPr>
        <w:sz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iyelunwen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52d2xpputz25oevrr1ptwrsszs5wesrdz9f&quot;&gt;ch&lt;record-ids&gt;&lt;item&gt;75&lt;/item&gt;&lt;item&gt;77&lt;/item&gt;&lt;item&gt;154&lt;/item&gt;&lt;/record-ids&gt;&lt;/item&gt;&lt;/Libraries&gt;"/>
  </w:docVars>
  <w:rsids>
    <w:rsidRoot w:val="00172A27"/>
    <w:rsid w:val="00005FB8"/>
    <w:rsid w:val="0001402D"/>
    <w:rsid w:val="000158BC"/>
    <w:rsid w:val="00024A59"/>
    <w:rsid w:val="0002582F"/>
    <w:rsid w:val="00027F4F"/>
    <w:rsid w:val="00032631"/>
    <w:rsid w:val="00032E5D"/>
    <w:rsid w:val="00042C6C"/>
    <w:rsid w:val="0004372F"/>
    <w:rsid w:val="000532E2"/>
    <w:rsid w:val="00057D61"/>
    <w:rsid w:val="00061F01"/>
    <w:rsid w:val="0006780F"/>
    <w:rsid w:val="00070324"/>
    <w:rsid w:val="0007074C"/>
    <w:rsid w:val="0008167C"/>
    <w:rsid w:val="00085FBA"/>
    <w:rsid w:val="000A3678"/>
    <w:rsid w:val="000B132E"/>
    <w:rsid w:val="000B2873"/>
    <w:rsid w:val="000B3770"/>
    <w:rsid w:val="000B52D6"/>
    <w:rsid w:val="000C20E1"/>
    <w:rsid w:val="000C72D4"/>
    <w:rsid w:val="000D53AD"/>
    <w:rsid w:val="000D7C9B"/>
    <w:rsid w:val="000F1D08"/>
    <w:rsid w:val="000F4970"/>
    <w:rsid w:val="000F58C4"/>
    <w:rsid w:val="000F5C5F"/>
    <w:rsid w:val="00100298"/>
    <w:rsid w:val="001133D0"/>
    <w:rsid w:val="00114C98"/>
    <w:rsid w:val="00120953"/>
    <w:rsid w:val="00123CAA"/>
    <w:rsid w:val="00137CD5"/>
    <w:rsid w:val="00143B08"/>
    <w:rsid w:val="00147A38"/>
    <w:rsid w:val="001500D5"/>
    <w:rsid w:val="00162607"/>
    <w:rsid w:val="00172A27"/>
    <w:rsid w:val="00176807"/>
    <w:rsid w:val="00180B71"/>
    <w:rsid w:val="00192A09"/>
    <w:rsid w:val="0019608A"/>
    <w:rsid w:val="00197418"/>
    <w:rsid w:val="001B2527"/>
    <w:rsid w:val="001C7DFF"/>
    <w:rsid w:val="001E19C2"/>
    <w:rsid w:val="001E1BBD"/>
    <w:rsid w:val="001E7949"/>
    <w:rsid w:val="001F41BC"/>
    <w:rsid w:val="00201091"/>
    <w:rsid w:val="002017E8"/>
    <w:rsid w:val="0020281A"/>
    <w:rsid w:val="0020287A"/>
    <w:rsid w:val="00206D9F"/>
    <w:rsid w:val="00225115"/>
    <w:rsid w:val="0022766D"/>
    <w:rsid w:val="00233387"/>
    <w:rsid w:val="0025476E"/>
    <w:rsid w:val="00283881"/>
    <w:rsid w:val="00284F44"/>
    <w:rsid w:val="002858E0"/>
    <w:rsid w:val="00293BA9"/>
    <w:rsid w:val="002A25EB"/>
    <w:rsid w:val="002B2B2B"/>
    <w:rsid w:val="002B5471"/>
    <w:rsid w:val="002B6826"/>
    <w:rsid w:val="002B6F4F"/>
    <w:rsid w:val="002C2A10"/>
    <w:rsid w:val="002C3615"/>
    <w:rsid w:val="002C5B5D"/>
    <w:rsid w:val="002E0703"/>
    <w:rsid w:val="002F563E"/>
    <w:rsid w:val="002F611A"/>
    <w:rsid w:val="00304DC7"/>
    <w:rsid w:val="00321EB0"/>
    <w:rsid w:val="00332EBE"/>
    <w:rsid w:val="00335DCD"/>
    <w:rsid w:val="00340257"/>
    <w:rsid w:val="00345A80"/>
    <w:rsid w:val="00346754"/>
    <w:rsid w:val="00351A2C"/>
    <w:rsid w:val="00360560"/>
    <w:rsid w:val="00361DC8"/>
    <w:rsid w:val="00363A24"/>
    <w:rsid w:val="00371A1A"/>
    <w:rsid w:val="00381911"/>
    <w:rsid w:val="003836B5"/>
    <w:rsid w:val="00384630"/>
    <w:rsid w:val="00397945"/>
    <w:rsid w:val="003B11F5"/>
    <w:rsid w:val="003B62EF"/>
    <w:rsid w:val="003C4A7F"/>
    <w:rsid w:val="003D745A"/>
    <w:rsid w:val="003E42E3"/>
    <w:rsid w:val="004070E7"/>
    <w:rsid w:val="00410DF0"/>
    <w:rsid w:val="00411D3C"/>
    <w:rsid w:val="004268A0"/>
    <w:rsid w:val="00443CE4"/>
    <w:rsid w:val="00446534"/>
    <w:rsid w:val="00446D8B"/>
    <w:rsid w:val="00452092"/>
    <w:rsid w:val="00452EF6"/>
    <w:rsid w:val="00460708"/>
    <w:rsid w:val="00480E78"/>
    <w:rsid w:val="004844ED"/>
    <w:rsid w:val="00487C99"/>
    <w:rsid w:val="004B2726"/>
    <w:rsid w:val="004B5DD0"/>
    <w:rsid w:val="004C3BD5"/>
    <w:rsid w:val="004C3CEC"/>
    <w:rsid w:val="004D601E"/>
    <w:rsid w:val="004E53D0"/>
    <w:rsid w:val="004F24B8"/>
    <w:rsid w:val="00503DC8"/>
    <w:rsid w:val="005141DE"/>
    <w:rsid w:val="00514968"/>
    <w:rsid w:val="00517275"/>
    <w:rsid w:val="00522D1C"/>
    <w:rsid w:val="0053038F"/>
    <w:rsid w:val="0053670C"/>
    <w:rsid w:val="00537F7E"/>
    <w:rsid w:val="00540D43"/>
    <w:rsid w:val="005431FF"/>
    <w:rsid w:val="00544877"/>
    <w:rsid w:val="00545B83"/>
    <w:rsid w:val="005610A5"/>
    <w:rsid w:val="00561D43"/>
    <w:rsid w:val="005658D5"/>
    <w:rsid w:val="005B3613"/>
    <w:rsid w:val="005B5167"/>
    <w:rsid w:val="005C1F29"/>
    <w:rsid w:val="005C2353"/>
    <w:rsid w:val="005D1BEE"/>
    <w:rsid w:val="005D2401"/>
    <w:rsid w:val="005E3508"/>
    <w:rsid w:val="006073F1"/>
    <w:rsid w:val="00616C25"/>
    <w:rsid w:val="00620794"/>
    <w:rsid w:val="0063627F"/>
    <w:rsid w:val="006453AD"/>
    <w:rsid w:val="00646431"/>
    <w:rsid w:val="006467EF"/>
    <w:rsid w:val="00655531"/>
    <w:rsid w:val="00657B49"/>
    <w:rsid w:val="00664D7F"/>
    <w:rsid w:val="00674035"/>
    <w:rsid w:val="0067429A"/>
    <w:rsid w:val="00675742"/>
    <w:rsid w:val="00691A0E"/>
    <w:rsid w:val="006948EA"/>
    <w:rsid w:val="006A000E"/>
    <w:rsid w:val="006A29D6"/>
    <w:rsid w:val="006A5B2B"/>
    <w:rsid w:val="006B4029"/>
    <w:rsid w:val="006B7B82"/>
    <w:rsid w:val="006C2AE6"/>
    <w:rsid w:val="006C35ED"/>
    <w:rsid w:val="006C70F5"/>
    <w:rsid w:val="006D362C"/>
    <w:rsid w:val="006D47F9"/>
    <w:rsid w:val="006D56F8"/>
    <w:rsid w:val="006E0376"/>
    <w:rsid w:val="00710F3F"/>
    <w:rsid w:val="00720682"/>
    <w:rsid w:val="007234D2"/>
    <w:rsid w:val="007254C0"/>
    <w:rsid w:val="0072583A"/>
    <w:rsid w:val="0076131D"/>
    <w:rsid w:val="00781165"/>
    <w:rsid w:val="007821E2"/>
    <w:rsid w:val="0078381F"/>
    <w:rsid w:val="00783BE9"/>
    <w:rsid w:val="00783E09"/>
    <w:rsid w:val="007853D5"/>
    <w:rsid w:val="00787B41"/>
    <w:rsid w:val="0079434B"/>
    <w:rsid w:val="00794885"/>
    <w:rsid w:val="007A5373"/>
    <w:rsid w:val="007A5DB1"/>
    <w:rsid w:val="007B23F0"/>
    <w:rsid w:val="007B46BC"/>
    <w:rsid w:val="007D0A34"/>
    <w:rsid w:val="007E3B92"/>
    <w:rsid w:val="007F08E1"/>
    <w:rsid w:val="007F1B66"/>
    <w:rsid w:val="007F5B15"/>
    <w:rsid w:val="007F5E6F"/>
    <w:rsid w:val="00806509"/>
    <w:rsid w:val="00807260"/>
    <w:rsid w:val="00810BB5"/>
    <w:rsid w:val="0081100F"/>
    <w:rsid w:val="00811236"/>
    <w:rsid w:val="008173DB"/>
    <w:rsid w:val="00832240"/>
    <w:rsid w:val="0083661C"/>
    <w:rsid w:val="0084003F"/>
    <w:rsid w:val="00850C07"/>
    <w:rsid w:val="00862BCB"/>
    <w:rsid w:val="00877C0F"/>
    <w:rsid w:val="008812CD"/>
    <w:rsid w:val="00882EB3"/>
    <w:rsid w:val="00894C56"/>
    <w:rsid w:val="00897134"/>
    <w:rsid w:val="008B000C"/>
    <w:rsid w:val="008B0274"/>
    <w:rsid w:val="008C4871"/>
    <w:rsid w:val="008C4933"/>
    <w:rsid w:val="008C4B61"/>
    <w:rsid w:val="008E143C"/>
    <w:rsid w:val="008E14B6"/>
    <w:rsid w:val="008E47DE"/>
    <w:rsid w:val="008E6647"/>
    <w:rsid w:val="008F00B9"/>
    <w:rsid w:val="008F20A1"/>
    <w:rsid w:val="008F2890"/>
    <w:rsid w:val="008F5733"/>
    <w:rsid w:val="008F58C9"/>
    <w:rsid w:val="008F60AA"/>
    <w:rsid w:val="009063AB"/>
    <w:rsid w:val="00912F47"/>
    <w:rsid w:val="00916DE1"/>
    <w:rsid w:val="00921D08"/>
    <w:rsid w:val="00922A0C"/>
    <w:rsid w:val="00923347"/>
    <w:rsid w:val="00923CE5"/>
    <w:rsid w:val="0093088C"/>
    <w:rsid w:val="009468A6"/>
    <w:rsid w:val="0095483A"/>
    <w:rsid w:val="00957B1B"/>
    <w:rsid w:val="00964830"/>
    <w:rsid w:val="009829EA"/>
    <w:rsid w:val="0099132F"/>
    <w:rsid w:val="009914A5"/>
    <w:rsid w:val="009938DF"/>
    <w:rsid w:val="0099756D"/>
    <w:rsid w:val="009A2830"/>
    <w:rsid w:val="009A2847"/>
    <w:rsid w:val="009A4B60"/>
    <w:rsid w:val="009B5EAD"/>
    <w:rsid w:val="009C22CD"/>
    <w:rsid w:val="009D1B06"/>
    <w:rsid w:val="009D2C06"/>
    <w:rsid w:val="009D4991"/>
    <w:rsid w:val="009E4832"/>
    <w:rsid w:val="009F13A4"/>
    <w:rsid w:val="009F2479"/>
    <w:rsid w:val="009F2F7A"/>
    <w:rsid w:val="00A00EB3"/>
    <w:rsid w:val="00A23B58"/>
    <w:rsid w:val="00A26CC4"/>
    <w:rsid w:val="00A33B76"/>
    <w:rsid w:val="00A4525B"/>
    <w:rsid w:val="00A533DA"/>
    <w:rsid w:val="00A548B1"/>
    <w:rsid w:val="00A5497E"/>
    <w:rsid w:val="00A559D0"/>
    <w:rsid w:val="00A644C0"/>
    <w:rsid w:val="00A719E6"/>
    <w:rsid w:val="00A74194"/>
    <w:rsid w:val="00A900A7"/>
    <w:rsid w:val="00A96C53"/>
    <w:rsid w:val="00AA27E8"/>
    <w:rsid w:val="00AB7490"/>
    <w:rsid w:val="00AC15CE"/>
    <w:rsid w:val="00AC519F"/>
    <w:rsid w:val="00AE7B98"/>
    <w:rsid w:val="00B05A82"/>
    <w:rsid w:val="00B11BD4"/>
    <w:rsid w:val="00B152F6"/>
    <w:rsid w:val="00B15BFC"/>
    <w:rsid w:val="00B24860"/>
    <w:rsid w:val="00B274D7"/>
    <w:rsid w:val="00B44419"/>
    <w:rsid w:val="00B445C9"/>
    <w:rsid w:val="00B5056B"/>
    <w:rsid w:val="00B705CD"/>
    <w:rsid w:val="00B72579"/>
    <w:rsid w:val="00B75C0E"/>
    <w:rsid w:val="00B82467"/>
    <w:rsid w:val="00B906E1"/>
    <w:rsid w:val="00BB0B62"/>
    <w:rsid w:val="00BB10FB"/>
    <w:rsid w:val="00BB4C16"/>
    <w:rsid w:val="00BC13FA"/>
    <w:rsid w:val="00BC2798"/>
    <w:rsid w:val="00BC473F"/>
    <w:rsid w:val="00BC515E"/>
    <w:rsid w:val="00BC5C61"/>
    <w:rsid w:val="00BE3D2E"/>
    <w:rsid w:val="00BE7600"/>
    <w:rsid w:val="00BF332D"/>
    <w:rsid w:val="00BF55D0"/>
    <w:rsid w:val="00C211F6"/>
    <w:rsid w:val="00C25FDD"/>
    <w:rsid w:val="00C35DEB"/>
    <w:rsid w:val="00C43C8E"/>
    <w:rsid w:val="00C47EA5"/>
    <w:rsid w:val="00C621CF"/>
    <w:rsid w:val="00C63FF1"/>
    <w:rsid w:val="00C71835"/>
    <w:rsid w:val="00C83BEA"/>
    <w:rsid w:val="00C84F8A"/>
    <w:rsid w:val="00C96753"/>
    <w:rsid w:val="00CA27AC"/>
    <w:rsid w:val="00CA494F"/>
    <w:rsid w:val="00CB1F87"/>
    <w:rsid w:val="00CB6F87"/>
    <w:rsid w:val="00CC77F8"/>
    <w:rsid w:val="00CD0EC1"/>
    <w:rsid w:val="00CD1374"/>
    <w:rsid w:val="00CE3628"/>
    <w:rsid w:val="00CE51F5"/>
    <w:rsid w:val="00CE6560"/>
    <w:rsid w:val="00CF33A1"/>
    <w:rsid w:val="00CF33D8"/>
    <w:rsid w:val="00D14C29"/>
    <w:rsid w:val="00D153EA"/>
    <w:rsid w:val="00D2304A"/>
    <w:rsid w:val="00D23740"/>
    <w:rsid w:val="00D31FEA"/>
    <w:rsid w:val="00D332BA"/>
    <w:rsid w:val="00D34833"/>
    <w:rsid w:val="00D4013B"/>
    <w:rsid w:val="00D4540F"/>
    <w:rsid w:val="00D4622B"/>
    <w:rsid w:val="00D476A7"/>
    <w:rsid w:val="00D54B53"/>
    <w:rsid w:val="00D6397A"/>
    <w:rsid w:val="00D67781"/>
    <w:rsid w:val="00D67BAB"/>
    <w:rsid w:val="00D67D65"/>
    <w:rsid w:val="00D70D47"/>
    <w:rsid w:val="00D71031"/>
    <w:rsid w:val="00D71B31"/>
    <w:rsid w:val="00D7264E"/>
    <w:rsid w:val="00D8330C"/>
    <w:rsid w:val="00D9033A"/>
    <w:rsid w:val="00D928C3"/>
    <w:rsid w:val="00D94602"/>
    <w:rsid w:val="00D97828"/>
    <w:rsid w:val="00DB0F93"/>
    <w:rsid w:val="00DB378A"/>
    <w:rsid w:val="00DB666C"/>
    <w:rsid w:val="00DB71DB"/>
    <w:rsid w:val="00DB7566"/>
    <w:rsid w:val="00DC0B8B"/>
    <w:rsid w:val="00DC55EE"/>
    <w:rsid w:val="00DC6A29"/>
    <w:rsid w:val="00DC7F62"/>
    <w:rsid w:val="00DD0C8A"/>
    <w:rsid w:val="00DF12D0"/>
    <w:rsid w:val="00DF1BB3"/>
    <w:rsid w:val="00DF3424"/>
    <w:rsid w:val="00E015C8"/>
    <w:rsid w:val="00E06465"/>
    <w:rsid w:val="00E112FF"/>
    <w:rsid w:val="00E120C9"/>
    <w:rsid w:val="00E21587"/>
    <w:rsid w:val="00E25772"/>
    <w:rsid w:val="00E425BE"/>
    <w:rsid w:val="00E45DDC"/>
    <w:rsid w:val="00E50198"/>
    <w:rsid w:val="00E64AB7"/>
    <w:rsid w:val="00E65B84"/>
    <w:rsid w:val="00E672A6"/>
    <w:rsid w:val="00E71ECA"/>
    <w:rsid w:val="00E73183"/>
    <w:rsid w:val="00E737E9"/>
    <w:rsid w:val="00E86281"/>
    <w:rsid w:val="00E90392"/>
    <w:rsid w:val="00E90E50"/>
    <w:rsid w:val="00E96446"/>
    <w:rsid w:val="00EA0AF3"/>
    <w:rsid w:val="00EB01EF"/>
    <w:rsid w:val="00EB7AC8"/>
    <w:rsid w:val="00ED2F0D"/>
    <w:rsid w:val="00ED5DF6"/>
    <w:rsid w:val="00EE22A3"/>
    <w:rsid w:val="00EF0D66"/>
    <w:rsid w:val="00EF1165"/>
    <w:rsid w:val="00F0006E"/>
    <w:rsid w:val="00F005DC"/>
    <w:rsid w:val="00F06990"/>
    <w:rsid w:val="00F073A4"/>
    <w:rsid w:val="00F07556"/>
    <w:rsid w:val="00F12E1B"/>
    <w:rsid w:val="00F16430"/>
    <w:rsid w:val="00F17636"/>
    <w:rsid w:val="00F23FFA"/>
    <w:rsid w:val="00F2446A"/>
    <w:rsid w:val="00F25344"/>
    <w:rsid w:val="00F260EB"/>
    <w:rsid w:val="00F338B3"/>
    <w:rsid w:val="00F375BE"/>
    <w:rsid w:val="00F5393E"/>
    <w:rsid w:val="00F55D2F"/>
    <w:rsid w:val="00F7406E"/>
    <w:rsid w:val="00F84884"/>
    <w:rsid w:val="00F8583C"/>
    <w:rsid w:val="00F97EC4"/>
    <w:rsid w:val="00FA6C3C"/>
    <w:rsid w:val="00FA6E6E"/>
    <w:rsid w:val="00FB219D"/>
    <w:rsid w:val="00FC539B"/>
    <w:rsid w:val="00FC5ED5"/>
    <w:rsid w:val="00FF2838"/>
    <w:rsid w:val="00FF3EFD"/>
    <w:rsid w:val="00FF51E2"/>
    <w:rsid w:val="035A2E3C"/>
    <w:rsid w:val="03F20308"/>
    <w:rsid w:val="058C4826"/>
    <w:rsid w:val="08EA514A"/>
    <w:rsid w:val="09742F12"/>
    <w:rsid w:val="107740B6"/>
    <w:rsid w:val="14BE009A"/>
    <w:rsid w:val="19D0740C"/>
    <w:rsid w:val="1AB114E9"/>
    <w:rsid w:val="1D435353"/>
    <w:rsid w:val="1F423B59"/>
    <w:rsid w:val="231B63A7"/>
    <w:rsid w:val="23D8556C"/>
    <w:rsid w:val="24144A0B"/>
    <w:rsid w:val="275A087E"/>
    <w:rsid w:val="2B7F106A"/>
    <w:rsid w:val="2CB96AD8"/>
    <w:rsid w:val="2F6760D2"/>
    <w:rsid w:val="31A03482"/>
    <w:rsid w:val="33CE79CE"/>
    <w:rsid w:val="35FC1BEC"/>
    <w:rsid w:val="3D0538F8"/>
    <w:rsid w:val="3EAD1CD6"/>
    <w:rsid w:val="40830F63"/>
    <w:rsid w:val="40F0234E"/>
    <w:rsid w:val="429974D6"/>
    <w:rsid w:val="434D2655"/>
    <w:rsid w:val="447C42D0"/>
    <w:rsid w:val="44FD2F11"/>
    <w:rsid w:val="51594984"/>
    <w:rsid w:val="53154710"/>
    <w:rsid w:val="553924D1"/>
    <w:rsid w:val="59545718"/>
    <w:rsid w:val="5F482B61"/>
    <w:rsid w:val="5FE13940"/>
    <w:rsid w:val="62C27B4A"/>
    <w:rsid w:val="644A6117"/>
    <w:rsid w:val="68112A26"/>
    <w:rsid w:val="68E90EC6"/>
    <w:rsid w:val="6CB35C43"/>
    <w:rsid w:val="6E542EA3"/>
    <w:rsid w:val="6E740745"/>
    <w:rsid w:val="6F570D38"/>
    <w:rsid w:val="6FD24F90"/>
    <w:rsid w:val="72FD78B5"/>
    <w:rsid w:val="72FE5054"/>
    <w:rsid w:val="73667C95"/>
    <w:rsid w:val="75504211"/>
    <w:rsid w:val="762D60F4"/>
    <w:rsid w:val="768076F4"/>
    <w:rsid w:val="77AF375D"/>
    <w:rsid w:val="77E8589D"/>
    <w:rsid w:val="78EF0B61"/>
    <w:rsid w:val="799C63C1"/>
    <w:rsid w:val="79D4536F"/>
    <w:rsid w:val="7ADC765D"/>
    <w:rsid w:val="7C2F194B"/>
    <w:rsid w:val="7F907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3">
    <w:name w:val="Default Paragraph Font"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after="120" w:line="360" w:lineRule="exact"/>
      <w:ind w:firstLine="420"/>
    </w:pPr>
    <w:rPr>
      <w:sz w:val="24"/>
    </w:rPr>
  </w:style>
  <w:style w:type="paragraph" w:styleId="3">
    <w:name w:val="annotation text"/>
    <w:basedOn w:val="1"/>
    <w:semiHidden/>
    <w:qFormat/>
    <w:uiPriority w:val="0"/>
    <w:pPr>
      <w:jc w:val="left"/>
    </w:pPr>
  </w:style>
  <w:style w:type="paragraph" w:styleId="4">
    <w:name w:val="Body Text"/>
    <w:basedOn w:val="1"/>
    <w:link w:val="18"/>
    <w:qFormat/>
    <w:uiPriority w:val="0"/>
    <w:rPr>
      <w:rFonts w:ascii="Calibri" w:hAnsi="Calibri"/>
      <w:color w:val="FF0000"/>
      <w:szCs w:val="24"/>
    </w:rPr>
  </w:style>
  <w:style w:type="paragraph" w:styleId="5">
    <w:name w:val="Block Text"/>
    <w:basedOn w:val="1"/>
    <w:qFormat/>
    <w:uiPriority w:val="0"/>
    <w:pPr>
      <w:ind w:left="567" w:right="567"/>
    </w:pPr>
    <w:rPr>
      <w:b/>
      <w:sz w:val="28"/>
    </w:rPr>
  </w:style>
  <w:style w:type="paragraph" w:styleId="6">
    <w:name w:val="Plain Text"/>
    <w:basedOn w:val="1"/>
    <w:link w:val="20"/>
    <w:qFormat/>
    <w:uiPriority w:val="0"/>
    <w:rPr>
      <w:rFonts w:hint="eastAsia" w:ascii="宋体" w:hAnsi="Courier New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footnote text"/>
    <w:basedOn w:val="1"/>
    <w:semiHidden/>
    <w:qFormat/>
    <w:uiPriority w:val="0"/>
    <w:pPr>
      <w:snapToGrid w:val="0"/>
      <w:jc w:val="left"/>
    </w:pPr>
    <w:rPr>
      <w:sz w:val="18"/>
    </w:rPr>
  </w:style>
  <w:style w:type="paragraph" w:styleId="11">
    <w:name w:val="annotation subject"/>
    <w:basedOn w:val="3"/>
    <w:next w:val="3"/>
    <w:semiHidden/>
    <w:qFormat/>
    <w:uiPriority w:val="0"/>
    <w:rPr>
      <w:b/>
      <w:bCs/>
    </w:rPr>
  </w:style>
  <w:style w:type="character" w:styleId="14">
    <w:name w:val="page number"/>
    <w:basedOn w:val="13"/>
    <w:qFormat/>
    <w:uiPriority w:val="0"/>
  </w:style>
  <w:style w:type="character" w:styleId="15">
    <w:name w:val="Hyperlink"/>
    <w:semiHidden/>
    <w:unhideWhenUsed/>
    <w:qFormat/>
    <w:uiPriority w:val="99"/>
    <w:rPr>
      <w:color w:val="0000FF"/>
      <w:u w:val="single"/>
    </w:rPr>
  </w:style>
  <w:style w:type="character" w:styleId="16">
    <w:name w:val="annotation reference"/>
    <w:semiHidden/>
    <w:qFormat/>
    <w:uiPriority w:val="0"/>
    <w:rPr>
      <w:sz w:val="21"/>
      <w:szCs w:val="21"/>
    </w:rPr>
  </w:style>
  <w:style w:type="character" w:styleId="17">
    <w:name w:val="footnote reference"/>
    <w:semiHidden/>
    <w:qFormat/>
    <w:uiPriority w:val="0"/>
    <w:rPr>
      <w:vertAlign w:val="superscript"/>
    </w:rPr>
  </w:style>
  <w:style w:type="character" w:customStyle="1" w:styleId="18">
    <w:name w:val="正文文本 字符"/>
    <w:link w:val="4"/>
    <w:qFormat/>
    <w:uiPriority w:val="0"/>
    <w:rPr>
      <w:rFonts w:ascii="Calibri" w:hAnsi="Calibri"/>
      <w:color w:val="FF0000"/>
      <w:kern w:val="2"/>
      <w:sz w:val="21"/>
      <w:szCs w:val="24"/>
    </w:rPr>
  </w:style>
  <w:style w:type="paragraph" w:styleId="19">
    <w:name w:val="List Paragraph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20">
    <w:name w:val="纯文本 字符"/>
    <w:link w:val="6"/>
    <w:qFormat/>
    <w:uiPriority w:val="0"/>
    <w:rPr>
      <w:rFonts w:ascii="宋体" w:hAnsi="Courier New"/>
      <w:kern w:val="2"/>
      <w:sz w:val="21"/>
    </w:rPr>
  </w:style>
  <w:style w:type="paragraph" w:customStyle="1" w:styleId="21">
    <w:name w:val="表题"/>
    <w:basedOn w:val="1"/>
    <w:qFormat/>
    <w:uiPriority w:val="0"/>
    <w:pPr>
      <w:snapToGrid w:val="0"/>
      <w:jc w:val="center"/>
    </w:pPr>
    <w:rPr>
      <w:rFonts w:ascii="KYGS" w:hAnsi="KYGS" w:eastAsia="黑体"/>
      <w:sz w:val="18"/>
      <w:szCs w:val="18"/>
    </w:rPr>
  </w:style>
  <w:style w:type="character" w:customStyle="1" w:styleId="22">
    <w:name w:val="short_text"/>
    <w:qFormat/>
    <w:uiPriority w:val="0"/>
  </w:style>
  <w:style w:type="table" w:customStyle="1" w:styleId="23">
    <w:name w:val="无格式表格 21"/>
    <w:basedOn w:val="12"/>
    <w:qFormat/>
    <w:uiPriority w:val="42"/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bCs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bCs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2Vert">
      <w:tcPr>
        <w:tcBorders>
          <w:left w:val="single" w:color="7E7E7E" w:themeColor="text1" w:themeTint="80" w:sz="4" w:space="0"/>
          <w:right w:val="single" w:color="7E7E7E" w:themeColor="text1" w:themeTint="80" w:sz="4" w:space="0"/>
        </w:tcBorders>
      </w:tcPr>
    </w:tblStylePr>
    <w:tblStylePr w:type="band1Horz">
      <w:tcPr>
        <w:tcBorders>
          <w:top w:val="single" w:color="7E7E7E" w:themeColor="text1" w:themeTint="80" w:sz="4" w:space="0"/>
          <w:bottom w:val="single" w:color="7E7E7E" w:themeColor="text1" w:themeTint="80" w:sz="4" w:space="0"/>
        </w:tcBorders>
      </w:tcPr>
    </w:tblStylePr>
  </w:style>
  <w:style w:type="paragraph" w:customStyle="1" w:styleId="24">
    <w:name w:val="EndNote Bibliography"/>
    <w:basedOn w:val="1"/>
    <w:qFormat/>
    <w:uiPriority w:val="0"/>
    <w:rPr>
      <w:rFonts w:ascii="等线" w:hAnsi="等线" w:eastAsia="等线"/>
      <w:sz w:val="20"/>
    </w:rPr>
  </w:style>
  <w:style w:type="paragraph" w:customStyle="1" w:styleId="25">
    <w:name w:val="EndNote Bibliography Title"/>
    <w:basedOn w:val="1"/>
    <w:link w:val="26"/>
    <w:qFormat/>
    <w:uiPriority w:val="0"/>
    <w:pPr>
      <w:jc w:val="center"/>
    </w:pPr>
    <w:rPr>
      <w:rFonts w:ascii="等线" w:hAnsi="等线" w:eastAsia="等线"/>
      <w:sz w:val="20"/>
    </w:rPr>
  </w:style>
  <w:style w:type="character" w:customStyle="1" w:styleId="26">
    <w:name w:val="EndNote Bibliography Title 字符"/>
    <w:basedOn w:val="13"/>
    <w:link w:val="25"/>
    <w:qFormat/>
    <w:uiPriority w:val="0"/>
    <w:rPr>
      <w:rFonts w:ascii="等线" w:hAnsi="等线" w:eastAsia="等线"/>
      <w:kern w:val="2"/>
    </w:rPr>
  </w:style>
  <w:style w:type="table" w:customStyle="1" w:styleId="27">
    <w:name w:val="无格式表格 221"/>
    <w:qFormat/>
    <w:uiPriority w:val="42"/>
    <w:tblPr>
      <w:tblBorders>
        <w:top w:val="single" w:color="7E7E7E" w:sz="4" w:space="0"/>
        <w:bottom w:val="single" w:color="7E7E7E" w:sz="4" w:space="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bCs/>
      </w:rPr>
      <w:tcPr>
        <w:tcBorders>
          <w:bottom w:val="single" w:color="7E7E7E" w:sz="4" w:space="0"/>
        </w:tcBorders>
      </w:tcPr>
    </w:tblStylePr>
    <w:tblStylePr w:type="lastRow">
      <w:rPr>
        <w:b/>
        <w:bCs/>
      </w:rPr>
      <w:tcPr>
        <w:tcBorders>
          <w:top w:val="single" w:color="7E7E7E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single" w:color="7E7E7E" w:sz="4" w:space="0"/>
          <w:right w:val="single" w:color="7E7E7E" w:sz="4" w:space="0"/>
        </w:tcBorders>
      </w:tcPr>
    </w:tblStylePr>
    <w:tblStylePr w:type="band2Vert">
      <w:tcPr>
        <w:tcBorders>
          <w:left w:val="single" w:color="7E7E7E" w:sz="4" w:space="0"/>
          <w:right w:val="single" w:color="7E7E7E" w:sz="4" w:space="0"/>
        </w:tcBorders>
      </w:tcPr>
    </w:tblStylePr>
    <w:tblStylePr w:type="band1Horz">
      <w:tcPr>
        <w:tcBorders>
          <w:top w:val="single" w:color="7E7E7E" w:sz="4" w:space="0"/>
          <w:bottom w:val="single" w:color="7E7E7E" w:sz="4" w:space="0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001B6-AB44-42CA-AB5A-1FB918BB40B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hncl</Company>
  <Pages>6</Pages>
  <Words>1043</Words>
  <Characters>5946</Characters>
  <Lines>49</Lines>
  <Paragraphs>13</Paragraphs>
  <TotalTime>1</TotalTime>
  <ScaleCrop>false</ScaleCrop>
  <LinksUpToDate>false</LinksUpToDate>
  <CharactersWithSpaces>6976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2018-04-13T10:31:00Z</dcterms:created>
  <dc:creator>lenovo</dc:creator>
  <dc:description>1</dc:description>
  <cp:lastModifiedBy>侯放</cp:lastModifiedBy>
  <cp:lastPrinted>2018-04-27T09:26:00Z</cp:lastPrinted>
  <dcterms:modified xsi:type="dcterms:W3CDTF">2024-10-26T00:45:54Z</dcterms:modified>
  <dc:title>(本文具有代表性的图像目录为  )</dc:title>
  <cp:revision>156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604587F651544DC6AE319B9E20515971</vt:lpwstr>
  </property>
</Properties>
</file>